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png" ContentType="image/pn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numPr>
          <w:ilvl w:val="0"/>
          <w:numId w:val="0"/>
        </w:numPr>
        <w:spacing w:lineRule="atLeast" w:line="300" w:beforeAutospacing="1" w:afterAutospacing="1"/>
        <w:ind w:left="0" w:hanging="0"/>
        <w:jc w:val="center"/>
        <w:outlineLvl w:val="1"/>
        <w:rPr>
          <w:lang w:val="it-IT"/>
        </w:rPr>
      </w:pPr>
      <w:r>
        <w:rPr>
          <w:lang w:val="it-IT"/>
        </w:rPr>
        <w:drawing>
          <wp:anchor behindDoc="0" distT="0" distB="0" distL="0" distR="0" simplePos="0" locked="0" layoutInCell="0" allowOverlap="1" relativeHeight="2">
            <wp:simplePos x="0" y="0"/>
            <wp:positionH relativeFrom="column">
              <wp:posOffset>1580515</wp:posOffset>
            </wp:positionH>
            <wp:positionV relativeFrom="paragraph">
              <wp:posOffset>-606425</wp:posOffset>
            </wp:positionV>
            <wp:extent cx="2124075" cy="1486535"/>
            <wp:effectExtent l="0" t="0" r="0" b="0"/>
            <wp:wrapSquare wrapText="largest"/>
            <wp:docPr id="1" name="Immagin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1" descr=""/>
                    <pic:cNvPicPr>
                      <a:picLocks noChangeAspect="1" noChangeArrowheads="1"/>
                    </pic:cNvPicPr>
                  </pic:nvPicPr>
                  <pic:blipFill>
                    <a:blip r:embed="rId2"/>
                    <a:stretch>
                      <a:fillRect/>
                    </a:stretch>
                  </pic:blipFill>
                  <pic:spPr bwMode="auto">
                    <a:xfrm>
                      <a:off x="0" y="0"/>
                      <a:ext cx="2124075" cy="1486535"/>
                    </a:xfrm>
                    <a:prstGeom prst="rect">
                      <a:avLst/>
                    </a:prstGeom>
                  </pic:spPr>
                </pic:pic>
              </a:graphicData>
            </a:graphic>
          </wp:anchor>
        </w:drawing>
      </w:r>
    </w:p>
    <w:p>
      <w:pPr>
        <w:pStyle w:val="Normal"/>
        <w:numPr>
          <w:ilvl w:val="0"/>
          <w:numId w:val="0"/>
        </w:numPr>
        <w:spacing w:lineRule="atLeast" w:line="300" w:beforeAutospacing="1" w:afterAutospacing="1"/>
        <w:ind w:left="0" w:hanging="0"/>
        <w:jc w:val="center"/>
        <w:outlineLvl w:val="1"/>
        <w:rPr>
          <w:lang w:val="it-IT"/>
        </w:rPr>
      </w:pPr>
      <w:r>
        <w:rPr>
          <w:lang w:val="it-IT"/>
        </w:rPr>
      </w:r>
    </w:p>
    <w:p>
      <w:pPr>
        <w:pStyle w:val="Normal"/>
        <w:numPr>
          <w:ilvl w:val="0"/>
          <w:numId w:val="0"/>
        </w:numPr>
        <w:spacing w:lineRule="atLeast" w:line="300" w:beforeAutospacing="1" w:afterAutospacing="1"/>
        <w:ind w:left="0" w:hanging="0"/>
        <w:jc w:val="center"/>
        <w:outlineLvl w:val="1"/>
        <w:rPr>
          <w:lang w:val="it-IT"/>
        </w:rPr>
      </w:pPr>
      <w:r>
        <w:rPr>
          <w:lang w:val="it-IT"/>
        </w:rPr>
      </w:r>
    </w:p>
    <w:p>
      <w:pPr>
        <w:pStyle w:val="Normal"/>
        <w:numPr>
          <w:ilvl w:val="0"/>
          <w:numId w:val="0"/>
        </w:numPr>
        <w:spacing w:lineRule="atLeast" w:line="300" w:beforeAutospacing="1" w:afterAutospacing="1"/>
        <w:ind w:left="0" w:hanging="0"/>
        <w:jc w:val="center"/>
        <w:outlineLvl w:val="1"/>
        <w:rPr>
          <w:lang w:val="it-IT"/>
        </w:rPr>
      </w:pPr>
      <w:r>
        <w:rPr>
          <w:b/>
          <w:bCs/>
          <w:lang w:val="it-IT"/>
        </w:rPr>
        <w:t>DIREZIONE SERVIZI TERRITORIALI E PROTEZIONE CIVILE</w:t>
      </w:r>
    </w:p>
    <w:p>
      <w:pPr>
        <w:pStyle w:val="Normal"/>
        <w:numPr>
          <w:ilvl w:val="0"/>
          <w:numId w:val="0"/>
        </w:numPr>
        <w:spacing w:lineRule="atLeast" w:line="300" w:beforeAutospacing="1" w:afterAutospacing="1"/>
        <w:ind w:left="0" w:hanging="0"/>
        <w:jc w:val="both"/>
        <w:outlineLvl w:val="1"/>
        <w:rPr>
          <w:rFonts w:eastAsia="Times New Roman" w:cs="Segoe UI"/>
          <w:sz w:val="24"/>
          <w:szCs w:val="24"/>
          <w:lang w:val="it-IT" w:eastAsia="it-IT"/>
        </w:rPr>
      </w:pPr>
      <w:r>
        <w:rPr>
          <w:b/>
          <w:bCs/>
          <w:lang w:val="it-IT"/>
        </w:rPr>
        <w:t>MODULO AD - ALTRE DICHIARAZIONI DEL CONCORRENTE, INTEGRATIVE DELLA DOMANDA DI PARTECIPAZIONE ALLA GARA E DEL DGUE</w:t>
        <w:br/>
        <w:br/>
      </w:r>
      <w:r>
        <w:rPr>
          <w:rFonts w:eastAsia="Times New Roman" w:cs="Segoe UI"/>
          <w:b/>
          <w:bCs/>
          <w:sz w:val="24"/>
          <w:szCs w:val="24"/>
          <w:lang w:val="it-IT" w:eastAsia="it-IT"/>
        </w:rPr>
        <w:t>Procedura negoziata senza bando ai sensi dell'art. 187 del D.Lgs. 36/2023 per l'affidamento in concessione del servizio di produzione di fototessere mediante distributori automatici presso i Punti Anagrafici Decentrati del Comune di Firenze (CPV:79960000-1)- CIG BD2438D813</w:t>
      </w:r>
    </w:p>
    <w:p>
      <w:pPr>
        <w:pStyle w:val="Normal"/>
        <w:jc w:val="both"/>
        <w:rPr>
          <w:lang w:val="it-IT"/>
        </w:rPr>
      </w:pPr>
      <w:r>
        <w:rPr>
          <w:lang w:val="it-IT"/>
        </w:rPr>
        <w:t>Il sottoscritto (nome)..............……………………..…..…...(cognome) …………………………………………….….</w:t>
      </w:r>
    </w:p>
    <w:p>
      <w:pPr>
        <w:pStyle w:val="Normal"/>
        <w:jc w:val="both"/>
        <w:rPr>
          <w:lang w:val="it-IT"/>
        </w:rPr>
      </w:pPr>
      <w:r>
        <w:rPr>
          <w:lang w:val="it-IT"/>
        </w:rPr>
        <w:t>nato a..............................................………............………...……. il.........……………….......................………………</w:t>
      </w:r>
    </w:p>
    <w:p>
      <w:pPr>
        <w:pStyle w:val="Normal"/>
        <w:jc w:val="both"/>
        <w:rPr>
          <w:lang w:val="it-IT"/>
        </w:rPr>
      </w:pPr>
      <w:r>
        <w:rPr>
          <w:lang w:val="it-IT"/>
        </w:rPr>
        <w:t>in qualità di</w:t>
      </w:r>
    </w:p>
    <w:p>
      <w:pPr>
        <w:pStyle w:val="Normal"/>
        <w:jc w:val="both"/>
        <w:rPr>
          <w:lang w:val="it-IT"/>
        </w:rPr>
      </w:pPr>
      <w:r>
        <w:rPr>
          <w:lang w:val="it-IT"/>
        </w:rPr>
        <w:t xml:space="preserve">□ </w:t>
      </w:r>
      <w:r>
        <w:rPr>
          <w:lang w:val="it-IT"/>
        </w:rPr>
        <w:t>Rappresentante Legale</w:t>
      </w:r>
    </w:p>
    <w:p>
      <w:pPr>
        <w:pStyle w:val="Normal"/>
        <w:jc w:val="both"/>
        <w:rPr>
          <w:lang w:val="it-IT"/>
        </w:rPr>
      </w:pPr>
      <w:r>
        <w:rPr>
          <w:lang w:val="it-IT"/>
        </w:rPr>
        <w:t>(barrare la casella che interessa)</w:t>
      </w:r>
    </w:p>
    <w:p>
      <w:pPr>
        <w:pStyle w:val="Normal"/>
        <w:jc w:val="both"/>
        <w:rPr>
          <w:lang w:val="it-IT"/>
        </w:rPr>
      </w:pPr>
      <w:r>
        <w:rPr>
          <w:lang w:val="it-IT"/>
        </w:rPr>
        <w:t xml:space="preserve">□ </w:t>
      </w:r>
      <w:r>
        <w:rPr>
          <w:lang w:val="it-IT"/>
        </w:rPr>
        <w:t>Procuratore del legale rappresentante (giusta procura allegata alla presente in copia conforme</w:t>
      </w:r>
    </w:p>
    <w:p>
      <w:pPr>
        <w:pStyle w:val="Normal"/>
        <w:jc w:val="both"/>
        <w:rPr>
          <w:lang w:val="it-IT"/>
        </w:rPr>
      </w:pPr>
      <w:r>
        <w:rPr>
          <w:lang w:val="it-IT"/>
        </w:rPr>
        <w:t>all’originale rilasciata dal Notaio)</w:t>
      </w:r>
    </w:p>
    <w:p>
      <w:pPr>
        <w:pStyle w:val="Normal"/>
        <w:jc w:val="both"/>
        <w:rPr>
          <w:lang w:val="it-IT"/>
        </w:rPr>
      </w:pPr>
      <w:r>
        <w:rPr>
          <w:lang w:val="it-IT"/>
        </w:rPr>
        <w:t xml:space="preserve">□ </w:t>
      </w:r>
      <w:r>
        <w:rPr>
          <w:lang w:val="it-IT"/>
        </w:rPr>
        <w:t>Curatore nell’ipotesi di fallimento con autorizzazione all’esercizio provvisorio ai sensi dell’art.</w:t>
      </w:r>
    </w:p>
    <w:p>
      <w:pPr>
        <w:pStyle w:val="Normal"/>
        <w:jc w:val="both"/>
        <w:rPr>
          <w:lang w:val="it-IT"/>
        </w:rPr>
      </w:pPr>
      <w:r>
        <w:rPr>
          <w:lang w:val="it-IT"/>
        </w:rPr>
        <w:t>124, co. 4, del D.lgs. 36/2023</w:t>
      </w:r>
    </w:p>
    <w:p>
      <w:pPr>
        <w:pStyle w:val="Normal"/>
        <w:jc w:val="both"/>
        <w:rPr>
          <w:lang w:val="it-IT"/>
        </w:rPr>
      </w:pPr>
      <w:r>
        <w:rPr>
          <w:lang w:val="it-IT"/>
        </w:rPr>
        <w:t>dell’impresa (denominazione) …………………………………………………………….</w:t>
      </w:r>
    </w:p>
    <w:p>
      <w:pPr>
        <w:pStyle w:val="Normal"/>
        <w:jc w:val="both"/>
        <w:rPr>
          <w:lang w:val="it-IT"/>
        </w:rPr>
      </w:pPr>
      <w:r>
        <w:rPr>
          <w:lang w:val="it-IT"/>
        </w:rPr>
        <w:t>(sede legale) ……………………………………………………………………………….</w:t>
      </w:r>
    </w:p>
    <w:p>
      <w:pPr>
        <w:pStyle w:val="Normal"/>
        <w:jc w:val="both"/>
        <w:rPr>
          <w:lang w:val="it-IT"/>
        </w:rPr>
      </w:pPr>
      <w:r>
        <w:rPr>
          <w:lang w:val="it-IT"/>
        </w:rPr>
        <w:t>partecipante come concorrente alla procedura negoziata, svolta con modalità telematica, per l’affidamento della concessione di servizi in oggetto</w:t>
      </w:r>
    </w:p>
    <w:p>
      <w:pPr>
        <w:pStyle w:val="Normal"/>
        <w:jc w:val="both"/>
        <w:rPr>
          <w:lang w:val="it-IT"/>
        </w:rPr>
      </w:pPr>
      <w:r>
        <w:rPr>
          <w:lang w:val="it-IT"/>
        </w:rPr>
        <w:t>in qualità di</w:t>
      </w:r>
    </w:p>
    <w:p>
      <w:pPr>
        <w:pStyle w:val="Normal"/>
        <w:jc w:val="both"/>
        <w:rPr>
          <w:lang w:val="it-IT"/>
        </w:rPr>
      </w:pPr>
      <w:r>
        <w:rPr>
          <w:lang w:val="it-IT"/>
        </w:rPr>
        <w:t xml:space="preserve">□ </w:t>
      </w:r>
      <w:r>
        <w:rPr>
          <w:lang w:val="it-IT"/>
        </w:rPr>
        <w:t>Concorrente singolo</w:t>
      </w:r>
    </w:p>
    <w:p>
      <w:pPr>
        <w:pStyle w:val="Normal"/>
        <w:jc w:val="both"/>
        <w:rPr>
          <w:lang w:val="it-IT"/>
        </w:rPr>
      </w:pPr>
      <w:r>
        <w:rPr>
          <w:lang w:val="it-IT"/>
        </w:rPr>
        <w:t>(barrare la casella che interessa)</w:t>
      </w:r>
    </w:p>
    <w:p>
      <w:pPr>
        <w:pStyle w:val="Normal"/>
        <w:jc w:val="both"/>
        <w:rPr>
          <w:lang w:val="it-IT"/>
        </w:rPr>
      </w:pPr>
      <w:r>
        <w:rPr>
          <w:lang w:val="it-IT"/>
        </w:rPr>
        <w:t xml:space="preserve">□ </w:t>
      </w:r>
      <w:r>
        <w:rPr>
          <w:lang w:val="it-IT"/>
        </w:rPr>
        <w:t>Mandataria di Raggruppamento temporaneo di imprese</w:t>
      </w:r>
    </w:p>
    <w:p>
      <w:pPr>
        <w:pStyle w:val="Normal"/>
        <w:jc w:val="both"/>
        <w:rPr>
          <w:lang w:val="it-IT"/>
        </w:rPr>
      </w:pPr>
      <w:r>
        <w:rPr>
          <w:lang w:val="it-IT"/>
        </w:rPr>
        <w:t xml:space="preserve">□ </w:t>
      </w:r>
      <w:r>
        <w:rPr>
          <w:lang w:val="it-IT"/>
        </w:rPr>
        <w:t>Mandante di Raggruppamento temporaneo di imprese</w:t>
      </w:r>
    </w:p>
    <w:p>
      <w:pPr>
        <w:pStyle w:val="Normal"/>
        <w:jc w:val="both"/>
        <w:rPr>
          <w:lang w:val="it-IT"/>
        </w:rPr>
      </w:pPr>
      <w:r>
        <w:rPr>
          <w:lang w:val="it-IT"/>
        </w:rPr>
        <w:t xml:space="preserve">□ </w:t>
      </w:r>
      <w:r>
        <w:rPr>
          <w:lang w:val="it-IT"/>
        </w:rPr>
        <w:t>Consorzio</w:t>
      </w:r>
    </w:p>
    <w:p>
      <w:pPr>
        <w:pStyle w:val="Normal"/>
        <w:jc w:val="both"/>
        <w:rPr>
          <w:lang w:val="it-IT"/>
        </w:rPr>
      </w:pPr>
      <w:r>
        <w:rPr>
          <w:lang w:val="it-IT"/>
        </w:rPr>
        <w:t xml:space="preserve">□ </w:t>
      </w:r>
      <w:r>
        <w:rPr>
          <w:lang w:val="it-IT"/>
        </w:rPr>
        <w:t>Capogruppo</w:t>
      </w:r>
    </w:p>
    <w:p>
      <w:pPr>
        <w:pStyle w:val="Normal"/>
        <w:jc w:val="both"/>
        <w:rPr>
          <w:lang w:val="it-IT"/>
        </w:rPr>
      </w:pPr>
      <w:r>
        <w:rPr>
          <w:lang w:val="it-IT"/>
        </w:rPr>
        <w:t xml:space="preserve">□ </w:t>
      </w:r>
      <w:r>
        <w:rPr>
          <w:lang w:val="it-IT"/>
        </w:rPr>
        <w:t>Membro GEIE</w:t>
      </w:r>
    </w:p>
    <w:p>
      <w:pPr>
        <w:pStyle w:val="Normal"/>
        <w:jc w:val="both"/>
        <w:rPr>
          <w:lang w:val="it-IT"/>
        </w:rPr>
      </w:pPr>
      <w:r>
        <w:rPr>
          <w:lang w:val="it-IT"/>
        </w:rPr>
        <w:t xml:space="preserve">□ </w:t>
      </w:r>
      <w:r>
        <w:rPr>
          <w:lang w:val="it-IT"/>
        </w:rPr>
        <w:t>Organo Comune (per le Reti con organo comune con potere di rappresentanza)</w:t>
      </w:r>
    </w:p>
    <w:p>
      <w:pPr>
        <w:pStyle w:val="Normal"/>
        <w:jc w:val="both"/>
        <w:rPr>
          <w:lang w:val="it-IT"/>
        </w:rPr>
      </w:pPr>
      <w:r>
        <w:rPr>
          <w:lang w:val="it-IT"/>
        </w:rPr>
        <w:t xml:space="preserve">□ </w:t>
      </w:r>
      <w:r>
        <w:rPr>
          <w:lang w:val="it-IT"/>
        </w:rPr>
        <w:t>Mandataria di rete</w:t>
      </w:r>
    </w:p>
    <w:p>
      <w:pPr>
        <w:pStyle w:val="Normal"/>
        <w:jc w:val="both"/>
        <w:rPr>
          <w:lang w:val="it-IT"/>
        </w:rPr>
      </w:pPr>
      <w:r>
        <w:rPr>
          <w:lang w:val="it-IT"/>
        </w:rPr>
        <w:t xml:space="preserve">□ </w:t>
      </w:r>
      <w:r>
        <w:rPr>
          <w:lang w:val="it-IT"/>
        </w:rPr>
        <w:t>Membro della rete</w:t>
      </w:r>
    </w:p>
    <w:p>
      <w:pPr>
        <w:pStyle w:val="Normal"/>
        <w:jc w:val="both"/>
        <w:rPr>
          <w:lang w:val="it-IT"/>
        </w:rPr>
      </w:pPr>
      <w:r>
        <w:rPr>
          <w:lang w:val="it-IT"/>
        </w:rPr>
        <w:t>in nome e per conto dell’impresa rappresentata di cui sopra, e in conformità alle disposizioni del D.P.R. 28.12.2000, n. 445, articoli 46 e 47 in particolare, e consapevole delle sanzioni penali previste dall'articolo 76 dello stesso Decreto per le ipotesi di falsità in atti e dichiarazioni mendaci ivi indicate,</w:t>
      </w:r>
    </w:p>
    <w:p>
      <w:pPr>
        <w:pStyle w:val="Normal"/>
        <w:jc w:val="both"/>
        <w:rPr>
          <w:lang w:val="it-IT"/>
        </w:rPr>
      </w:pPr>
      <w:r>
        <w:rPr>
          <w:lang w:val="it-IT"/>
        </w:rPr>
        <w:t>DICHIARA</w:t>
      </w:r>
    </w:p>
    <w:p>
      <w:pPr>
        <w:pStyle w:val="Normal"/>
        <w:jc w:val="both"/>
        <w:rPr>
          <w:lang w:val="it-IT"/>
        </w:rPr>
      </w:pPr>
      <w:r>
        <w:rPr>
          <w:lang w:val="it-IT"/>
        </w:rPr>
        <w:t>ad integrazione della Domanda di partecipazione e del DGUE:</w:t>
      </w:r>
    </w:p>
    <w:p>
      <w:pPr>
        <w:pStyle w:val="Normal"/>
        <w:jc w:val="both"/>
        <w:rPr>
          <w:lang w:val="it-IT"/>
        </w:rPr>
      </w:pPr>
      <w:r>
        <w:rPr>
          <w:lang w:val="it-IT"/>
        </w:rPr>
        <w:t>1) che il CCNL applicato e il relativo codice alfanumerico unico, di cui all’articolo 16-quater del decreto legge n. 76/20, sono i seguenti:</w:t>
      </w:r>
    </w:p>
    <w:p>
      <w:pPr>
        <w:pStyle w:val="Normal"/>
        <w:jc w:val="both"/>
        <w:rPr>
          <w:lang w:val="it-IT"/>
        </w:rPr>
      </w:pPr>
      <w:r>
        <w:rPr>
          <w:lang w:val="it-IT"/>
        </w:rPr>
        <w:t>…………………………………</w:t>
      </w:r>
      <w:r>
        <w:rPr>
          <w:lang w:val="it-IT"/>
        </w:rPr>
        <w:t>..........................................................................................</w:t>
      </w:r>
    </w:p>
    <w:p>
      <w:pPr>
        <w:pStyle w:val="Normal"/>
        <w:jc w:val="both"/>
        <w:rPr>
          <w:lang w:val="it-IT"/>
        </w:rPr>
      </w:pPr>
      <w:r>
        <w:rPr>
          <w:lang w:val="it-IT"/>
        </w:rPr>
        <w:t>...........................................................................................................................…………..</w:t>
      </w:r>
    </w:p>
    <w:p>
      <w:pPr>
        <w:pStyle w:val="Normal"/>
        <w:jc w:val="both"/>
        <w:rPr>
          <w:lang w:val="it-IT"/>
        </w:rPr>
      </w:pPr>
      <w:r>
        <w:rPr>
          <w:lang w:val="it-IT"/>
        </w:rPr>
        <w:t>2) di ritenere remunerativa l’offerta presentata in quanto per la sua formulazione ha preso atto e tenuto conto:</w:t>
      </w:r>
    </w:p>
    <w:p>
      <w:pPr>
        <w:pStyle w:val="Normal"/>
        <w:jc w:val="both"/>
        <w:rPr>
          <w:lang w:val="it-IT"/>
        </w:rPr>
      </w:pPr>
      <w:r>
        <w:rPr>
          <w:lang w:val="it-IT"/>
        </w:rPr>
        <w:t>a) delle condizioni contrattuali, di norme e prescrizioni dei contratti collettivi, delle leggi e dei regolamenti sulla tutela, protezione, assicurazione, assistenza e sicurezza fisica dei lavoratori comunque presenti nei luoghi dove devono essere effettuati i servizi/forniture e degli oneri compresi quelli eventuali relativi in materia di sicurezza, di assicurazione, di condizioni di lavoro e di previdenza e assistenza, in vigore nel luogo dove devono essere svolti i servizi/forniture;</w:t>
      </w:r>
    </w:p>
    <w:p>
      <w:pPr>
        <w:pStyle w:val="Normal"/>
        <w:jc w:val="both"/>
        <w:rPr>
          <w:lang w:val="it-IT"/>
        </w:rPr>
      </w:pPr>
      <w:r>
        <w:rPr>
          <w:lang w:val="it-IT"/>
        </w:rPr>
        <w:t>b) di tutte le circostanze generali, particolari e locali, nessuna esclusa ed eccettuata che possono avere influito o influire sia sulla prestazione del servizio, sia sulla determinazione della propria offerta;</w:t>
      </w:r>
    </w:p>
    <w:p>
      <w:pPr>
        <w:pStyle w:val="Normal"/>
        <w:jc w:val="both"/>
        <w:rPr>
          <w:lang w:val="it-IT"/>
        </w:rPr>
      </w:pPr>
      <w:r>
        <w:rPr>
          <w:lang w:val="it-IT"/>
        </w:rPr>
        <w:t>3) di accettare, senza condizione o riserva alcuna, tutte le norme e disposizioni contenute nella documentazione gara e si impegna a dare immediato inizio al servizio su richiesta del Responsabile della competente Direzione dell’Amministrazione anche in pendenza della stipula dell'atto formale di concessione, senza pretendere compensi ed indennità di sorta, se ricorrono i presupposti;</w:t>
      </w:r>
    </w:p>
    <w:p>
      <w:pPr>
        <w:pStyle w:val="Normal"/>
        <w:jc w:val="both"/>
        <w:rPr>
          <w:lang w:val="it-IT"/>
        </w:rPr>
      </w:pPr>
      <w:r>
        <w:rPr>
          <w:lang w:val="it-IT"/>
        </w:rPr>
        <w:t>4) di denunciare immediatamente alle Forze di Polizia o all’Autorità Giudiziaria ogni illecita</w:t>
      </w:r>
    </w:p>
    <w:p>
      <w:pPr>
        <w:pStyle w:val="Normal"/>
        <w:jc w:val="both"/>
        <w:rPr>
          <w:lang w:val="it-IT"/>
        </w:rPr>
      </w:pPr>
      <w:r>
        <w:rPr>
          <w:lang w:val="it-IT"/>
        </w:rPr>
        <w:t>richiesta di denaro, prestazione o altra utilità ovvero offerta di protezione nei confronti dell’imprenditore, degli eventuali componenti la compagine sociale o dei rispettivi familiari, qualiad esempio ogni richiesta di tangenti, pressioni per indirizzare l’assunzione di personale o l’affidamento di lavorazioni, forniture o servizi a determinate imprese, danneggiamenti, furti di beni personali o di cantiere, oltre ad ogni fatto penalmente rilevante;</w:t>
      </w:r>
    </w:p>
    <w:p>
      <w:pPr>
        <w:pStyle w:val="Normal"/>
        <w:jc w:val="both"/>
        <w:rPr>
          <w:lang w:val="it-IT"/>
        </w:rPr>
      </w:pPr>
      <w:r>
        <w:rPr>
          <w:lang w:val="it-IT"/>
        </w:rPr>
        <w:t>- a segnalare, immediatamente, alla Prefettura competente l’avvenuta formalizzazione della suddetta denuncia e ciò al fine di consentire eventuali e doverose iniziative di competenza.</w:t>
      </w:r>
    </w:p>
    <w:p>
      <w:pPr>
        <w:pStyle w:val="Normal"/>
        <w:jc w:val="both"/>
        <w:rPr>
          <w:lang w:val="it-IT"/>
        </w:rPr>
      </w:pPr>
      <w:r>
        <w:rPr>
          <w:lang w:val="it-IT"/>
        </w:rPr>
        <w:t>Il predetto adempimento ha natura essenziale ai fini dell’esecuzione del contratto e il relativo inadempimento darà luogo alla risoluzione espressa del contratto stesso, ai sensi dell’art. 1456 del c.c., ogni qualvolta nei confronti di pubblici amministratori che abbiano esercitato funzioni relative alla stipula ed esecuzione del contratto sia stata disposta misura cautelare o sia intervenuto rinvio a giudizio per il delitto previsto dall’art. 317 del c.p.;</w:t>
      </w:r>
    </w:p>
    <w:p>
      <w:pPr>
        <w:pStyle w:val="Normal"/>
        <w:jc w:val="both"/>
        <w:rPr>
          <w:lang w:val="it-IT"/>
        </w:rPr>
      </w:pPr>
      <w:r>
        <w:rPr>
          <w:lang w:val="it-IT"/>
        </w:rPr>
        <w:t>- a prendere atto ed accettare che la Stazione appaltante si impegna ad avvalersi della clausola risolutiva espressa, di cui all’art. 1456 c.c., ogni qualvolta, in virtù dell’art. 321 c.p., nei confronti dell’imprenditore o dei componenti la compagine sociale, o dei dirigenti dell’impresa, sia stata disposta misura cautelare o sia intervenuto rinvio a giudizio per taluno dei delitti di cui agli artt.317 c.p., 318 c.p., 319-bis c.p., 319-ter c.p., 319-quater c.p., 320 c.p., 322 c.p., 322- bis c.p., 346-bis c.p., 353 c.p., 353-bis c.p.;</w:t>
      </w:r>
    </w:p>
    <w:p>
      <w:pPr>
        <w:pStyle w:val="Normal"/>
        <w:jc w:val="both"/>
        <w:rPr>
          <w:lang w:val="it-IT"/>
        </w:rPr>
      </w:pPr>
      <w:r>
        <w:rPr>
          <w:lang w:val="it-IT"/>
        </w:rPr>
        <w:t>5) Per gli Operatori Economici non residenti e privi di stabile organizzazione in Italia di impegnarsi ad uniformarsi, in caso di aggiudicazione, alla disciplina di cui agli articoli 17,comma 2, e 53, comma 3 del d.p.r. 633/1972 e a comunicare alla Stazione Appaltante la nomina del proprio rappresentante fiscale, nelle forme di legge;</w:t>
      </w:r>
    </w:p>
    <w:p>
      <w:pPr>
        <w:pStyle w:val="Normal"/>
        <w:jc w:val="both"/>
        <w:rPr>
          <w:lang w:val="it-IT"/>
        </w:rPr>
      </w:pPr>
      <w:r>
        <w:rPr>
          <w:lang w:val="it-IT"/>
        </w:rPr>
        <w:t>6) di essere informato:</w:t>
      </w:r>
    </w:p>
    <w:p>
      <w:pPr>
        <w:pStyle w:val="Normal"/>
        <w:jc w:val="both"/>
        <w:rPr>
          <w:lang w:val="it-IT"/>
        </w:rPr>
      </w:pPr>
      <w:r>
        <w:rPr>
          <w:lang w:val="it-IT"/>
        </w:rPr>
        <w:t>- che i dati personali raccolti saranno trattati, anche con strumenti informatici, esclusivamente nell’ambito della presente procedura e, in generale, per l'esecuzione dei compiti di interesse pubblico del Comune o comunque connessi all'esercizio dei suoi pubblici poteri, ivi incluse le finalità di archiviazione, di ricerca storica e di analisi per scopi statistici;</w:t>
      </w:r>
    </w:p>
    <w:p>
      <w:pPr>
        <w:pStyle w:val="Normal"/>
        <w:jc w:val="both"/>
        <w:rPr>
          <w:lang w:val="it-IT"/>
        </w:rPr>
      </w:pPr>
      <w:r>
        <w:rPr>
          <w:lang w:val="it-IT"/>
        </w:rPr>
        <w:t>- dell’esistenza dei diritti di cui agli artt. 15 e ss. del Regolamento UE 2016/679 GDPR;</w:t>
      </w:r>
    </w:p>
    <w:p>
      <w:pPr>
        <w:pStyle w:val="Normal"/>
        <w:jc w:val="both"/>
        <w:rPr>
          <w:lang w:val="it-IT"/>
        </w:rPr>
      </w:pPr>
      <w:r>
        <w:rPr>
          <w:lang w:val="it-IT"/>
        </w:rPr>
        <w:t>7) che si obbliga, al fine di assicurare la tracciabilità dei flussi finanziari, ad ottemperare a quanto previsto dalla legge n. 136 del 13/08/2010, in materia di tracciabilità;</w:t>
      </w:r>
    </w:p>
    <w:p>
      <w:pPr>
        <w:pStyle w:val="Normal"/>
        <w:jc w:val="both"/>
        <w:rPr>
          <w:lang w:val="it-IT"/>
        </w:rPr>
      </w:pPr>
      <w:r>
        <w:rPr>
          <w:lang w:val="it-IT"/>
        </w:rPr>
        <w:t>8) che in caso di aggiudicazione, si avvarrà/non si avvarrà (cancellare la parte non pertinente) nel corso della concessione di contratti continuativi di cooperazione, servizio e/o fornitura sottoscritti in epoca anteriore alla data di pubblicazione del bando della presente procedura, di cui all’art. 119, co.3, lett. d) del D.Lgs. 36/2023, di cui indica di seguito gli estremi (indicare l’oggetto del contratto, il contraente e la data del contratto):</w:t>
      </w:r>
    </w:p>
    <w:p>
      <w:pPr>
        <w:pStyle w:val="Normal"/>
        <w:jc w:val="both"/>
        <w:rPr>
          <w:lang w:val="it-IT"/>
        </w:rPr>
      </w:pPr>
      <w:r>
        <w:rPr>
          <w:lang w:val="it-IT"/>
        </w:rPr>
        <w:t>........................................................................................................................………………………....</w:t>
      </w:r>
    </w:p>
    <w:p>
      <w:pPr>
        <w:pStyle w:val="Normal"/>
        <w:jc w:val="both"/>
        <w:rPr>
          <w:lang w:val="it-IT"/>
        </w:rPr>
      </w:pPr>
      <w:r>
        <w:rPr>
          <w:lang w:val="it-IT"/>
        </w:rPr>
        <w:t>................................................................................................................................................................</w:t>
      </w:r>
    </w:p>
    <w:p>
      <w:pPr>
        <w:pStyle w:val="Normal"/>
        <w:jc w:val="both"/>
        <w:rPr>
          <w:lang w:val="it-IT"/>
        </w:rPr>
      </w:pPr>
      <w:r>
        <w:rPr>
          <w:lang w:val="it-IT"/>
        </w:rPr>
        <w:t>.......................................................................………………………………….</w:t>
      </w:r>
    </w:p>
    <w:p>
      <w:pPr>
        <w:pStyle w:val="Normal"/>
        <w:jc w:val="both"/>
        <w:rPr>
          <w:lang w:val="it-IT"/>
        </w:rPr>
      </w:pPr>
      <w:r>
        <w:rPr>
          <w:lang w:val="it-IT"/>
        </w:rPr>
        <w:t>9) di non partecipare alla medesima gara contemporaneamente in forme diverse (individuale e associata; in più forme associate; in forma singola e quale consorziato esecutore di un consorzio; in forma singola e come ausiliaria di altro concorrente che sia ricorso all’avvalimento per migliorare la propria offerta)</w:t>
      </w:r>
    </w:p>
    <w:p>
      <w:pPr>
        <w:pStyle w:val="Normal"/>
        <w:jc w:val="both"/>
        <w:rPr>
          <w:lang w:val="it-IT"/>
        </w:rPr>
      </w:pPr>
      <w:r>
        <w:rPr>
          <w:lang w:val="it-IT"/>
        </w:rPr>
        <w:t>Oppure</w:t>
      </w:r>
    </w:p>
    <w:p>
      <w:pPr>
        <w:pStyle w:val="Normal"/>
        <w:jc w:val="both"/>
        <w:rPr>
          <w:lang w:val="it-IT"/>
        </w:rPr>
      </w:pPr>
      <w:r>
        <w:rPr>
          <w:lang w:val="it-IT"/>
        </w:rPr>
        <w:t>dichiara di partecipare in più di una forma, e precisamente:</w:t>
      </w:r>
    </w:p>
    <w:p>
      <w:pPr>
        <w:pStyle w:val="Normal"/>
        <w:jc w:val="both"/>
        <w:rPr>
          <w:lang w:val="it-IT"/>
        </w:rPr>
      </w:pPr>
      <w:r>
        <w:rPr>
          <w:lang w:val="it-IT"/>
        </w:rPr>
        <w:t>............................................................................................................ ed allega la documentazione che dimostra che la circostanza non ha influito sulla gara, né è idonea a incidere sulla capacità di rispettare gli obblighi contrattuali;</w:t>
      </w:r>
    </w:p>
    <w:p>
      <w:pPr>
        <w:pStyle w:val="Normal"/>
        <w:jc w:val="both"/>
        <w:rPr>
          <w:lang w:val="it-IT"/>
        </w:rPr>
      </w:pPr>
      <w:r>
        <w:rPr>
          <w:lang w:val="it-IT"/>
        </w:rPr>
        <w:t>10) di essere in regola con le norme che disciplinano il diritto al lavoro delle persone con disabilità ai sensi della L. 12/03/1999, n. 68 e, pertanto:</w:t>
      </w:r>
    </w:p>
    <w:p>
      <w:pPr>
        <w:pStyle w:val="Normal"/>
        <w:jc w:val="both"/>
        <w:rPr>
          <w:lang w:val="it-IT"/>
        </w:rPr>
      </w:pPr>
      <w:r>
        <w:rPr>
          <w:lang w:val="it-IT"/>
        </w:rPr>
        <w:t xml:space="preserve">□ </w:t>
      </w:r>
      <w:r>
        <w:rPr>
          <w:lang w:val="it-IT"/>
        </w:rPr>
        <w:t>di essere soggetto all’obbligo di assunzioni di cui alla Legge n. 68/1999 in quanto il numero dei dipendenti ai fini del calcolo previsto dalla legge è superiore a 15 unità;</w:t>
      </w:r>
    </w:p>
    <w:p>
      <w:pPr>
        <w:pStyle w:val="Normal"/>
        <w:jc w:val="both"/>
        <w:rPr>
          <w:lang w:val="it-IT"/>
        </w:rPr>
      </w:pPr>
      <w:r>
        <w:rPr>
          <w:lang w:val="it-IT"/>
        </w:rPr>
        <w:t xml:space="preserve">□ </w:t>
      </w:r>
      <w:r>
        <w:rPr>
          <w:lang w:val="it-IT"/>
        </w:rPr>
        <w:t>di non essere soggetto all’obbligo di assunzioni di cui alla Legge n. 68/1999 in quanto il numero dei dipendenti ai fini del calcolo previsto dalla legge è inferiore a 15 unità;</w:t>
      </w:r>
    </w:p>
    <w:p>
      <w:pPr>
        <w:pStyle w:val="Normal"/>
        <w:jc w:val="both"/>
        <w:rPr>
          <w:lang w:val="it-IT"/>
        </w:rPr>
      </w:pPr>
      <w:r>
        <w:rPr>
          <w:lang w:val="it-IT"/>
        </w:rPr>
        <w:t xml:space="preserve">11) di accettare il Codice di comportamento dei dipendenti del Comune di Firenze (reperibile al seguente link </w:t>
      </w:r>
      <w:hyperlink r:id="rId3">
        <w:r>
          <w:rPr>
            <w:rStyle w:val="CollegamentoInternet"/>
            <w:lang w:val="it-IT"/>
          </w:rPr>
          <w:t>https://www.comune.fi.it/system/files/2021-02/Codice-comportamento-dipendenti</w:t>
        </w:r>
      </w:hyperlink>
      <w:r>
        <w:rPr>
          <w:lang w:val="it-IT"/>
        </w:rPr>
        <w:t xml:space="preserve"> Comune-Firenze2021.pdf);</w:t>
      </w:r>
    </w:p>
    <w:p>
      <w:pPr>
        <w:pStyle w:val="Normal"/>
        <w:jc w:val="both"/>
        <w:rPr>
          <w:lang w:val="it-IT"/>
        </w:rPr>
      </w:pPr>
      <w:r>
        <w:rPr>
          <w:lang w:val="it-IT"/>
        </w:rPr>
        <w:t>12) di aver preso visione delle “Norme tecniche di funzionamento del Sistema telematico diacquisto della Regione Toscana”, non allegate alla documentazione ma consultabili all’indirizzo internet: https://start.toscana.it/;</w:t>
      </w:r>
    </w:p>
    <w:p>
      <w:pPr>
        <w:pStyle w:val="Normal"/>
        <w:jc w:val="both"/>
        <w:rPr>
          <w:lang w:val="it-IT"/>
        </w:rPr>
      </w:pPr>
      <w:r>
        <w:rPr>
          <w:lang w:val="it-IT"/>
        </w:rPr>
        <w:t>13) di aver preso visione del “Comunicato relativo alle Linee guida per la compilazione del modello di formulario di Documento di Gara unico Europeo (DGUE) approvato dal Regolamento di esecuzione (UE) 2016/7 della Commissione del 5 gennaio 2016 del Ministero delle Infrastrutture e dei Trasporti” del 30/06/2023 – allegato alla documentazione di gara;</w:t>
      </w:r>
    </w:p>
    <w:p>
      <w:pPr>
        <w:pStyle w:val="Normal"/>
        <w:jc w:val="both"/>
        <w:rPr>
          <w:lang w:val="it-IT"/>
        </w:rPr>
      </w:pPr>
      <w:r>
        <w:rPr>
          <w:lang w:val="it-IT"/>
        </w:rPr>
        <w:t>14) di essere in possesso del seguente requisito di idoneità professionale:</w:t>
      </w:r>
    </w:p>
    <w:p>
      <w:pPr>
        <w:pStyle w:val="Normal"/>
        <w:jc w:val="both"/>
        <w:rPr>
          <w:lang w:val="it-IT"/>
        </w:rPr>
      </w:pPr>
      <w:r>
        <w:rPr>
          <w:lang w:val="it-IT"/>
        </w:rPr>
        <w:t xml:space="preserve">□  </w:t>
      </w:r>
      <w:r>
        <w:rPr>
          <w:lang w:val="it-IT"/>
        </w:rPr>
        <w:t>iscrizione al Registro delle Camere di commercio di</w:t>
      </w:r>
    </w:p>
    <w:p>
      <w:pPr>
        <w:pStyle w:val="Normal"/>
        <w:jc w:val="both"/>
        <w:rPr>
          <w:lang w:val="it-IT"/>
        </w:rPr>
      </w:pPr>
      <w:r>
        <w:rPr>
          <w:lang w:val="it-IT"/>
        </w:rPr>
        <w:t>______________________________________________________________________________________________________</w:t>
      </w:r>
    </w:p>
    <w:p>
      <w:pPr>
        <w:pStyle w:val="Normal"/>
        <w:jc w:val="both"/>
        <w:rPr>
          <w:lang w:val="it-IT"/>
        </w:rPr>
      </w:pPr>
      <w:r>
        <w:rPr>
          <w:lang w:val="it-IT"/>
        </w:rPr>
        <w:t xml:space="preserve">Luogo e data </w:t>
      </w:r>
    </w:p>
    <w:p>
      <w:pPr>
        <w:pStyle w:val="Normal"/>
        <w:jc w:val="both"/>
        <w:rPr>
          <w:lang w:val="it-IT"/>
        </w:rPr>
      </w:pPr>
      <w:r>
        <w:rPr>
          <w:lang w:val="it-IT"/>
        </w:rPr>
        <w:t>______________________</w:t>
      </w:r>
    </w:p>
    <w:p>
      <w:pPr>
        <w:pStyle w:val="Normal"/>
        <w:jc w:val="both"/>
        <w:rPr>
          <w:lang w:val="it-IT"/>
        </w:rPr>
      </w:pPr>
      <w:r>
        <w:rPr>
          <w:lang w:val="it-IT"/>
        </w:rPr>
        <w:t>Firma digitale</w:t>
      </w:r>
    </w:p>
    <w:p>
      <w:pPr>
        <w:pStyle w:val="Normal"/>
        <w:spacing w:before="0" w:after="200"/>
        <w:jc w:val="both"/>
        <w:rPr>
          <w:lang w:val="it-IT"/>
        </w:rPr>
      </w:pPr>
      <w:r>
        <w:rPr>
          <w:lang w:val="it-IT"/>
        </w:rPr>
        <w:t>Informativa ai sensi art. 13 del D. Lgs 30 giugno 2003 n. 196 ss.mm. e nel rispetto del Regolamento Ue 2016/679: i dati personali saranno utilizzati dal Comune ai soli fini del presente affidamento, fatti salvi i diritti degli interessati ai sensi dell'art. 7 dello stesso Decreto. La sottoscrizione del presente modulo costituisce anche autorizzazione al trattamento dei dati ai sensi e per gli effetti dell’art. 27 del D. Lgs. 36/2023, del D. Lgs. n. 33/2013, che reca disposizioni in materia di riordino della disciplina riguardante gli obblighi di pubblicità, trasparenza e diffusione di informazioni da parte delle pubbliche amministrazioni, nonché ai sensi e per gli effetti dell’art. 1 comma 32 della L. 190/2012, che reca disposizioni per la prevenzione e la repressione della corruzione e dell’illegalità nella pubblica amministrazione.</w:t>
      </w:r>
    </w:p>
    <w:sectPr>
      <w:type w:val="nextPage"/>
      <w:pgSz w:w="12240" w:h="15840"/>
      <w:pgMar w:left="1800" w:right="1800" w:gutter="0" w:header="0" w:top="1440" w:footer="0" w:bottom="144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mbria">
    <w:charset w:val="00"/>
    <w:family w:val="roman"/>
    <w:pitch w:val="variable"/>
  </w:font>
  <w:font w:name="Calibri">
    <w:charset w:val="00"/>
    <w:family w:val="roman"/>
    <w:pitch w:val="variable"/>
  </w:font>
  <w:font w:name="Courier">
    <w:altName w:val="Courier New"/>
    <w:charset w:val="00"/>
    <w:family w:val="roman"/>
    <w:pitch w:val="variable"/>
  </w:font>
  <w:font w:name="Liberation Sans">
    <w:altName w:val="Arial"/>
    <w:charset w:val="00"/>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360"/>
        </w:tabs>
        <w:ind w:left="360" w:hanging="36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2">
    <w:lvl w:ilvl="0">
      <w:start w:val="1"/>
      <w:numFmt w:val="bullet"/>
      <w:lvlText w:val=""/>
      <w:lvlJc w:val="left"/>
      <w:pPr>
        <w:tabs>
          <w:tab w:val="num" w:pos="720"/>
        </w:tabs>
        <w:ind w:left="720" w:hanging="36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3">
    <w:lvl w:ilvl="0">
      <w:start w:val="1"/>
      <w:numFmt w:val="bullet"/>
      <w:lvlText w:val=""/>
      <w:lvlJc w:val="left"/>
      <w:pPr>
        <w:tabs>
          <w:tab w:val="num" w:pos="1080"/>
        </w:tabs>
        <w:ind w:left="1080" w:hanging="36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4">
    <w:lvl w:ilvl="0">
      <w:start w:val="1"/>
      <w:numFmt w:val="decimal"/>
      <w:lvlText w:val="%1."/>
      <w:lvlJc w:val="left"/>
      <w:pPr>
        <w:tabs>
          <w:tab w:val="num" w:pos="360"/>
        </w:tabs>
        <w:ind w:left="360" w:hanging="360"/>
      </w:pPr>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5">
    <w:lvl w:ilvl="0">
      <w:start w:val="1"/>
      <w:numFmt w:val="decimal"/>
      <w:lvlText w:val="%1."/>
      <w:lvlJc w:val="left"/>
      <w:pPr>
        <w:tabs>
          <w:tab w:val="num" w:pos="720"/>
        </w:tabs>
        <w:ind w:left="720" w:hanging="360"/>
      </w:pPr>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6">
    <w:lvl w:ilvl="0">
      <w:start w:val="1"/>
      <w:numFmt w:val="decimal"/>
      <w:lvlText w:val="%1."/>
      <w:lvlJc w:val="left"/>
      <w:pPr>
        <w:tabs>
          <w:tab w:val="num" w:pos="1080"/>
        </w:tabs>
        <w:ind w:left="1080" w:hanging="360"/>
      </w:pPr>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7">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w="http://schemas.openxmlformats.org/wordprocessingml/2006/main">
  <w:zoom w:percent="170"/>
  <w:defaultTabStop w:val="720"/>
  <w:autoHyphenation w:val="tru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hyphenationZone w:val="283"/>
  <w:themeFontLang w:val="en-US" w:eastAsia="ja-JP"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mbria" w:hAnsi="Cambria" w:eastAsia="ＭＳ 明朝" w:cs="" w:asciiTheme="minorHAnsi" w:cstheme="minorBidi" w:eastAsiaTheme="minorEastAsia" w:hAnsiTheme="minorHAnsi"/>
        <w:sz w:val="22"/>
        <w:szCs w:val="22"/>
        <w:lang w:val="en-US"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fc693f"/>
    <w:pPr>
      <w:widowControl/>
      <w:suppressAutoHyphens w:val="true"/>
      <w:bidi w:val="0"/>
      <w:spacing w:lineRule="auto" w:line="276" w:before="0" w:after="200"/>
      <w:jc w:val="left"/>
    </w:pPr>
    <w:rPr>
      <w:rFonts w:ascii="Cambria" w:hAnsi="Cambria" w:eastAsia="ＭＳ 明朝" w:cs="" w:asciiTheme="minorHAnsi" w:cstheme="minorBidi" w:eastAsiaTheme="minorEastAsia" w:hAnsiTheme="minorHAnsi"/>
      <w:color w:val="auto"/>
      <w:kern w:val="0"/>
      <w:sz w:val="22"/>
      <w:szCs w:val="22"/>
      <w:lang w:val="en-US" w:eastAsia="en-US" w:bidi="ar-SA"/>
    </w:rPr>
  </w:style>
  <w:style w:type="paragraph" w:styleId="Titolo1">
    <w:name w:val="Heading 1"/>
    <w:basedOn w:val="Normal"/>
    <w:next w:val="Normal"/>
    <w:link w:val="Heading1Char"/>
    <w:uiPriority w:val="9"/>
    <w:qFormat/>
    <w:rsid w:val="00fc693f"/>
    <w:pPr>
      <w:keepNext w:val="true"/>
      <w:keepLines/>
      <w:spacing w:before="480" w:after="0"/>
      <w:outlineLvl w:val="0"/>
    </w:pPr>
    <w:rPr>
      <w:rFonts w:ascii="Calibri" w:hAnsi="Calibri" w:eastAsia="ＭＳ ゴシック" w:cs="" w:asciiTheme="majorHAnsi" w:cstheme="majorBidi" w:eastAsiaTheme="majorEastAsia" w:hAnsiTheme="majorHAnsi"/>
      <w:b/>
      <w:bCs/>
      <w:color w:val="365F91" w:themeColor="accent1" w:themeShade="bf"/>
      <w:sz w:val="28"/>
      <w:szCs w:val="28"/>
    </w:rPr>
  </w:style>
  <w:style w:type="paragraph" w:styleId="Titolo2">
    <w:name w:val="Heading 2"/>
    <w:basedOn w:val="Normal"/>
    <w:next w:val="Normal"/>
    <w:link w:val="Heading2Char"/>
    <w:uiPriority w:val="9"/>
    <w:unhideWhenUsed/>
    <w:qFormat/>
    <w:rsid w:val="00fc693f"/>
    <w:pPr>
      <w:keepNext w:val="true"/>
      <w:keepLines/>
      <w:spacing w:before="200" w:after="0"/>
      <w:outlineLvl w:val="1"/>
    </w:pPr>
    <w:rPr>
      <w:rFonts w:ascii="Calibri" w:hAnsi="Calibri" w:eastAsia="ＭＳ ゴシック" w:cs="" w:asciiTheme="majorHAnsi" w:cstheme="majorBidi" w:eastAsiaTheme="majorEastAsia" w:hAnsiTheme="majorHAnsi"/>
      <w:b/>
      <w:bCs/>
      <w:color w:val="4F81BD" w:themeColor="accent1"/>
      <w:sz w:val="26"/>
      <w:szCs w:val="26"/>
    </w:rPr>
  </w:style>
  <w:style w:type="paragraph" w:styleId="Titolo3">
    <w:name w:val="Heading 3"/>
    <w:basedOn w:val="Normal"/>
    <w:next w:val="Normal"/>
    <w:link w:val="Heading3Char"/>
    <w:uiPriority w:val="9"/>
    <w:unhideWhenUsed/>
    <w:qFormat/>
    <w:rsid w:val="00fc693f"/>
    <w:pPr>
      <w:keepNext w:val="true"/>
      <w:keepLines/>
      <w:spacing w:before="200" w:after="0"/>
      <w:outlineLvl w:val="2"/>
    </w:pPr>
    <w:rPr>
      <w:rFonts w:ascii="Calibri" w:hAnsi="Calibri" w:eastAsia="ＭＳ ゴシック" w:cs="" w:asciiTheme="majorHAnsi" w:cstheme="majorBidi" w:eastAsiaTheme="majorEastAsia" w:hAnsiTheme="majorHAnsi"/>
      <w:b/>
      <w:bCs/>
      <w:color w:val="4F81BD" w:themeColor="accent1"/>
    </w:rPr>
  </w:style>
  <w:style w:type="paragraph" w:styleId="Titolo4">
    <w:name w:val="Heading 4"/>
    <w:basedOn w:val="Normal"/>
    <w:next w:val="Normal"/>
    <w:link w:val="Heading4Char"/>
    <w:uiPriority w:val="9"/>
    <w:semiHidden/>
    <w:unhideWhenUsed/>
    <w:qFormat/>
    <w:rsid w:val="00fc693f"/>
    <w:pPr>
      <w:keepNext w:val="true"/>
      <w:keepLines/>
      <w:spacing w:before="200" w:after="0"/>
      <w:outlineLvl w:val="3"/>
    </w:pPr>
    <w:rPr>
      <w:rFonts w:ascii="Calibri" w:hAnsi="Calibri" w:eastAsia="ＭＳ ゴシック" w:cs="" w:asciiTheme="majorHAnsi" w:cstheme="majorBidi" w:eastAsiaTheme="majorEastAsia" w:hAnsiTheme="majorHAnsi"/>
      <w:b/>
      <w:bCs/>
      <w:i/>
      <w:iCs/>
      <w:color w:val="4F81BD" w:themeColor="accent1"/>
    </w:rPr>
  </w:style>
  <w:style w:type="paragraph" w:styleId="Titolo5">
    <w:name w:val="Heading 5"/>
    <w:basedOn w:val="Normal"/>
    <w:next w:val="Normal"/>
    <w:link w:val="Heading5Char"/>
    <w:uiPriority w:val="9"/>
    <w:semiHidden/>
    <w:unhideWhenUsed/>
    <w:qFormat/>
    <w:rsid w:val="00fc693f"/>
    <w:pPr>
      <w:keepNext w:val="true"/>
      <w:keepLines/>
      <w:spacing w:before="200" w:after="0"/>
      <w:outlineLvl w:val="4"/>
    </w:pPr>
    <w:rPr>
      <w:rFonts w:ascii="Calibri" w:hAnsi="Calibri" w:eastAsia="ＭＳ ゴシック" w:cs="" w:asciiTheme="majorHAnsi" w:cstheme="majorBidi" w:eastAsiaTheme="majorEastAsia" w:hAnsiTheme="majorHAnsi"/>
      <w:color w:val="243F60" w:themeColor="accent1" w:themeShade="7f"/>
    </w:rPr>
  </w:style>
  <w:style w:type="paragraph" w:styleId="Titolo6">
    <w:name w:val="Heading 6"/>
    <w:basedOn w:val="Normal"/>
    <w:next w:val="Normal"/>
    <w:link w:val="Heading6Char"/>
    <w:uiPriority w:val="9"/>
    <w:semiHidden/>
    <w:unhideWhenUsed/>
    <w:qFormat/>
    <w:rsid w:val="00fc693f"/>
    <w:pPr>
      <w:keepNext w:val="true"/>
      <w:keepLines/>
      <w:spacing w:before="200" w:after="0"/>
      <w:outlineLvl w:val="5"/>
    </w:pPr>
    <w:rPr>
      <w:rFonts w:ascii="Calibri" w:hAnsi="Calibri" w:eastAsia="ＭＳ ゴシック" w:cs="" w:asciiTheme="majorHAnsi" w:cstheme="majorBidi" w:eastAsiaTheme="majorEastAsia" w:hAnsiTheme="majorHAnsi"/>
      <w:i/>
      <w:iCs/>
      <w:color w:val="243F60" w:themeColor="accent1" w:themeShade="7f"/>
    </w:rPr>
  </w:style>
  <w:style w:type="paragraph" w:styleId="Titolo7">
    <w:name w:val="Heading 7"/>
    <w:basedOn w:val="Normal"/>
    <w:next w:val="Normal"/>
    <w:link w:val="Heading7Char"/>
    <w:uiPriority w:val="9"/>
    <w:semiHidden/>
    <w:unhideWhenUsed/>
    <w:qFormat/>
    <w:rsid w:val="00fc693f"/>
    <w:pPr>
      <w:keepNext w:val="true"/>
      <w:keepLines/>
      <w:spacing w:before="200" w:after="0"/>
      <w:outlineLvl w:val="6"/>
    </w:pPr>
    <w:rPr>
      <w:rFonts w:ascii="Calibri" w:hAnsi="Calibri" w:eastAsia="ＭＳ ゴシック" w:cs="" w:asciiTheme="majorHAnsi" w:cstheme="majorBidi" w:eastAsiaTheme="majorEastAsia" w:hAnsiTheme="majorHAnsi"/>
      <w:i/>
      <w:iCs/>
      <w:color w:val="404040" w:themeColor="text1" w:themeTint="bf"/>
    </w:rPr>
  </w:style>
  <w:style w:type="paragraph" w:styleId="Titolo8">
    <w:name w:val="Heading 8"/>
    <w:basedOn w:val="Normal"/>
    <w:next w:val="Normal"/>
    <w:link w:val="Heading8Char"/>
    <w:uiPriority w:val="9"/>
    <w:semiHidden/>
    <w:unhideWhenUsed/>
    <w:qFormat/>
    <w:rsid w:val="00fc693f"/>
    <w:pPr>
      <w:keepNext w:val="true"/>
      <w:keepLines/>
      <w:spacing w:before="200" w:after="0"/>
      <w:outlineLvl w:val="7"/>
    </w:pPr>
    <w:rPr>
      <w:rFonts w:ascii="Calibri" w:hAnsi="Calibri" w:eastAsia="ＭＳ ゴシック" w:cs="" w:asciiTheme="majorHAnsi" w:cstheme="majorBidi" w:eastAsiaTheme="majorEastAsia" w:hAnsiTheme="majorHAnsi"/>
      <w:color w:val="4F81BD" w:themeColor="accent1"/>
      <w:sz w:val="20"/>
      <w:szCs w:val="20"/>
    </w:rPr>
  </w:style>
  <w:style w:type="paragraph" w:styleId="Titolo9">
    <w:name w:val="Heading 9"/>
    <w:basedOn w:val="Normal"/>
    <w:next w:val="Normal"/>
    <w:link w:val="Heading9Char"/>
    <w:uiPriority w:val="9"/>
    <w:semiHidden/>
    <w:unhideWhenUsed/>
    <w:qFormat/>
    <w:rsid w:val="00fc693f"/>
    <w:pPr>
      <w:keepNext w:val="true"/>
      <w:keepLines/>
      <w:spacing w:before="200" w:after="0"/>
      <w:outlineLvl w:val="8"/>
    </w:pPr>
    <w:rPr>
      <w:rFonts w:ascii="Calibri" w:hAnsi="Calibri" w:eastAsia="ＭＳ ゴシック" w:cs="" w:asciiTheme="majorHAnsi" w:cstheme="majorBidi" w:eastAsiaTheme="majorEastAsia" w:hAnsiTheme="majorHAnsi"/>
      <w:i/>
      <w:iCs/>
      <w:color w:val="404040" w:themeColor="text1" w:themeTint="bf"/>
      <w:sz w:val="20"/>
      <w:szCs w:val="20"/>
    </w:rPr>
  </w:style>
  <w:style w:type="character" w:styleId="DefaultParagraphFont" w:default="1">
    <w:name w:val="Default Paragraph Font"/>
    <w:uiPriority w:val="1"/>
    <w:unhideWhenUsed/>
    <w:qFormat/>
    <w:rPr/>
  </w:style>
  <w:style w:type="character" w:styleId="HeaderChar" w:customStyle="1">
    <w:name w:val="Header Char"/>
    <w:basedOn w:val="DefaultParagraphFont"/>
    <w:uiPriority w:val="99"/>
    <w:qFormat/>
    <w:rsid w:val="00e618bf"/>
    <w:rPr/>
  </w:style>
  <w:style w:type="character" w:styleId="FooterChar" w:customStyle="1">
    <w:name w:val="Footer Char"/>
    <w:basedOn w:val="DefaultParagraphFont"/>
    <w:uiPriority w:val="99"/>
    <w:qFormat/>
    <w:rsid w:val="00e618bf"/>
    <w:rPr/>
  </w:style>
  <w:style w:type="character" w:styleId="Heading1Char" w:customStyle="1">
    <w:name w:val="Heading 1 Char"/>
    <w:basedOn w:val="DefaultParagraphFont"/>
    <w:uiPriority w:val="9"/>
    <w:qFormat/>
    <w:rsid w:val="00fc693f"/>
    <w:rPr>
      <w:rFonts w:ascii="Calibri" w:hAnsi="Calibri" w:eastAsia="ＭＳ ゴシック" w:cs="" w:asciiTheme="majorHAnsi" w:cstheme="majorBidi" w:eastAsiaTheme="majorEastAsia" w:hAnsiTheme="majorHAnsi"/>
      <w:b/>
      <w:bCs/>
      <w:color w:val="365F91" w:themeColor="accent1" w:themeShade="bf"/>
      <w:sz w:val="28"/>
      <w:szCs w:val="28"/>
    </w:rPr>
  </w:style>
  <w:style w:type="character" w:styleId="Heading2Char" w:customStyle="1">
    <w:name w:val="Heading 2 Char"/>
    <w:basedOn w:val="DefaultParagraphFont"/>
    <w:uiPriority w:val="9"/>
    <w:qFormat/>
    <w:rsid w:val="00fc693f"/>
    <w:rPr>
      <w:rFonts w:ascii="Calibri" w:hAnsi="Calibri" w:eastAsia="ＭＳ ゴシック" w:cs="" w:asciiTheme="majorHAnsi" w:cstheme="majorBidi" w:eastAsiaTheme="majorEastAsia" w:hAnsiTheme="majorHAnsi"/>
      <w:b/>
      <w:bCs/>
      <w:color w:val="4F81BD" w:themeColor="accent1"/>
      <w:sz w:val="26"/>
      <w:szCs w:val="26"/>
    </w:rPr>
  </w:style>
  <w:style w:type="character" w:styleId="Heading3Char" w:customStyle="1">
    <w:name w:val="Heading 3 Char"/>
    <w:basedOn w:val="DefaultParagraphFont"/>
    <w:uiPriority w:val="9"/>
    <w:qFormat/>
    <w:rsid w:val="00fc693f"/>
    <w:rPr>
      <w:rFonts w:ascii="Calibri" w:hAnsi="Calibri" w:eastAsia="ＭＳ ゴシック" w:cs="" w:asciiTheme="majorHAnsi" w:cstheme="majorBidi" w:eastAsiaTheme="majorEastAsia" w:hAnsiTheme="majorHAnsi"/>
      <w:b/>
      <w:bCs/>
      <w:color w:val="4F81BD" w:themeColor="accent1"/>
    </w:rPr>
  </w:style>
  <w:style w:type="character" w:styleId="TitleChar" w:customStyle="1">
    <w:name w:val="Title Char"/>
    <w:basedOn w:val="DefaultParagraphFont"/>
    <w:uiPriority w:val="10"/>
    <w:qFormat/>
    <w:rsid w:val="00fc693f"/>
    <w:rPr>
      <w:rFonts w:ascii="Calibri" w:hAnsi="Calibri" w:eastAsia="ＭＳ ゴシック" w:cs="" w:asciiTheme="majorHAnsi" w:cstheme="majorBidi" w:eastAsiaTheme="majorEastAsia" w:hAnsiTheme="majorHAnsi"/>
      <w:color w:val="17365D" w:themeColor="text2" w:themeShade="bf"/>
      <w:spacing w:val="5"/>
      <w:kern w:val="2"/>
      <w:sz w:val="52"/>
      <w:szCs w:val="52"/>
    </w:rPr>
  </w:style>
  <w:style w:type="character" w:styleId="SubtitleChar" w:customStyle="1">
    <w:name w:val="Subtitle Char"/>
    <w:basedOn w:val="DefaultParagraphFont"/>
    <w:uiPriority w:val="11"/>
    <w:qFormat/>
    <w:rsid w:val="00fc693f"/>
    <w:rPr>
      <w:rFonts w:ascii="Calibri" w:hAnsi="Calibri" w:eastAsia="ＭＳ ゴシック" w:cs="" w:asciiTheme="majorHAnsi" w:cstheme="majorBidi" w:eastAsiaTheme="majorEastAsia" w:hAnsiTheme="majorHAnsi"/>
      <w:i/>
      <w:iCs/>
      <w:color w:val="4F81BD" w:themeColor="accent1"/>
      <w:spacing w:val="15"/>
      <w:sz w:val="24"/>
      <w:szCs w:val="24"/>
    </w:rPr>
  </w:style>
  <w:style w:type="character" w:styleId="BodyTextChar" w:customStyle="1">
    <w:name w:val="Body Text Char"/>
    <w:basedOn w:val="DefaultParagraphFont"/>
    <w:uiPriority w:val="99"/>
    <w:qFormat/>
    <w:rsid w:val="00aa1d8d"/>
    <w:rPr/>
  </w:style>
  <w:style w:type="character" w:styleId="BodyText2Char" w:customStyle="1">
    <w:name w:val="Body Text 2 Char"/>
    <w:basedOn w:val="DefaultParagraphFont"/>
    <w:link w:val="BodyText2"/>
    <w:uiPriority w:val="99"/>
    <w:qFormat/>
    <w:rsid w:val="00aa1d8d"/>
    <w:rPr/>
  </w:style>
  <w:style w:type="character" w:styleId="BodyText3Char" w:customStyle="1">
    <w:name w:val="Body Text 3 Char"/>
    <w:basedOn w:val="DefaultParagraphFont"/>
    <w:link w:val="BodyText3"/>
    <w:uiPriority w:val="99"/>
    <w:qFormat/>
    <w:rsid w:val="00aa1d8d"/>
    <w:rPr>
      <w:sz w:val="16"/>
      <w:szCs w:val="16"/>
    </w:rPr>
  </w:style>
  <w:style w:type="character" w:styleId="MacroTextChar" w:customStyle="1">
    <w:name w:val="Macro Text Char"/>
    <w:basedOn w:val="DefaultParagraphFont"/>
    <w:link w:val="Macro"/>
    <w:uiPriority w:val="99"/>
    <w:qFormat/>
    <w:rsid w:val="0029639d"/>
    <w:rPr>
      <w:rFonts w:ascii="Courier" w:hAnsi="Courier"/>
      <w:sz w:val="20"/>
      <w:szCs w:val="20"/>
    </w:rPr>
  </w:style>
  <w:style w:type="character" w:styleId="QuoteChar" w:customStyle="1">
    <w:name w:val="Quote Char"/>
    <w:basedOn w:val="DefaultParagraphFont"/>
    <w:link w:val="Quote"/>
    <w:uiPriority w:val="29"/>
    <w:qFormat/>
    <w:rsid w:val="00fc693f"/>
    <w:rPr>
      <w:i/>
      <w:iCs/>
      <w:color w:val="000000" w:themeColor="text1"/>
    </w:rPr>
  </w:style>
  <w:style w:type="character" w:styleId="Heading4Char" w:customStyle="1">
    <w:name w:val="Heading 4 Char"/>
    <w:basedOn w:val="DefaultParagraphFont"/>
    <w:uiPriority w:val="9"/>
    <w:semiHidden/>
    <w:qFormat/>
    <w:rsid w:val="00fc693f"/>
    <w:rPr>
      <w:rFonts w:ascii="Calibri" w:hAnsi="Calibri" w:eastAsia="ＭＳ ゴシック" w:cs="" w:asciiTheme="majorHAnsi" w:cstheme="majorBidi" w:eastAsiaTheme="majorEastAsia" w:hAnsiTheme="majorHAnsi"/>
      <w:b/>
      <w:bCs/>
      <w:i/>
      <w:iCs/>
      <w:color w:val="4F81BD" w:themeColor="accent1"/>
    </w:rPr>
  </w:style>
  <w:style w:type="character" w:styleId="Heading5Char" w:customStyle="1">
    <w:name w:val="Heading 5 Char"/>
    <w:basedOn w:val="DefaultParagraphFont"/>
    <w:uiPriority w:val="9"/>
    <w:semiHidden/>
    <w:qFormat/>
    <w:rsid w:val="00fc693f"/>
    <w:rPr>
      <w:rFonts w:ascii="Calibri" w:hAnsi="Calibri" w:eastAsia="ＭＳ ゴシック" w:cs="" w:asciiTheme="majorHAnsi" w:cstheme="majorBidi" w:eastAsiaTheme="majorEastAsia" w:hAnsiTheme="majorHAnsi"/>
      <w:color w:val="243F60" w:themeColor="accent1" w:themeShade="7f"/>
    </w:rPr>
  </w:style>
  <w:style w:type="character" w:styleId="Heading6Char" w:customStyle="1">
    <w:name w:val="Heading 6 Char"/>
    <w:basedOn w:val="DefaultParagraphFont"/>
    <w:uiPriority w:val="9"/>
    <w:semiHidden/>
    <w:qFormat/>
    <w:rsid w:val="00fc693f"/>
    <w:rPr>
      <w:rFonts w:ascii="Calibri" w:hAnsi="Calibri" w:eastAsia="ＭＳ ゴシック" w:cs="" w:asciiTheme="majorHAnsi" w:cstheme="majorBidi" w:eastAsiaTheme="majorEastAsia" w:hAnsiTheme="majorHAnsi"/>
      <w:i/>
      <w:iCs/>
      <w:color w:val="243F60" w:themeColor="accent1" w:themeShade="7f"/>
    </w:rPr>
  </w:style>
  <w:style w:type="character" w:styleId="Heading7Char" w:customStyle="1">
    <w:name w:val="Heading 7 Char"/>
    <w:basedOn w:val="DefaultParagraphFont"/>
    <w:uiPriority w:val="9"/>
    <w:semiHidden/>
    <w:qFormat/>
    <w:rsid w:val="00fc693f"/>
    <w:rPr>
      <w:rFonts w:ascii="Calibri" w:hAnsi="Calibri" w:eastAsia="ＭＳ ゴシック" w:cs="" w:asciiTheme="majorHAnsi" w:cstheme="majorBidi" w:eastAsiaTheme="majorEastAsia" w:hAnsiTheme="majorHAnsi"/>
      <w:i/>
      <w:iCs/>
      <w:color w:val="404040" w:themeColor="text1" w:themeTint="bf"/>
    </w:rPr>
  </w:style>
  <w:style w:type="character" w:styleId="Heading8Char" w:customStyle="1">
    <w:name w:val="Heading 8 Char"/>
    <w:basedOn w:val="DefaultParagraphFont"/>
    <w:uiPriority w:val="9"/>
    <w:semiHidden/>
    <w:qFormat/>
    <w:rsid w:val="00fc693f"/>
    <w:rPr>
      <w:rFonts w:ascii="Calibri" w:hAnsi="Calibri" w:eastAsia="ＭＳ ゴシック" w:cs="" w:asciiTheme="majorHAnsi" w:cstheme="majorBidi" w:eastAsiaTheme="majorEastAsia" w:hAnsiTheme="majorHAnsi"/>
      <w:color w:val="4F81BD" w:themeColor="accent1"/>
      <w:sz w:val="20"/>
      <w:szCs w:val="20"/>
    </w:rPr>
  </w:style>
  <w:style w:type="character" w:styleId="Heading9Char" w:customStyle="1">
    <w:name w:val="Heading 9 Char"/>
    <w:basedOn w:val="DefaultParagraphFont"/>
    <w:uiPriority w:val="9"/>
    <w:semiHidden/>
    <w:qFormat/>
    <w:rsid w:val="00fc693f"/>
    <w:rPr>
      <w:rFonts w:ascii="Calibri" w:hAnsi="Calibri" w:eastAsia="ＭＳ ゴシック" w:cs="" w:asciiTheme="majorHAnsi" w:cstheme="majorBidi" w:eastAsiaTheme="majorEastAsia" w:hAnsiTheme="majorHAnsi"/>
      <w:i/>
      <w:iCs/>
      <w:color w:val="404040" w:themeColor="text1" w:themeTint="bf"/>
      <w:sz w:val="20"/>
      <w:szCs w:val="20"/>
    </w:rPr>
  </w:style>
  <w:style w:type="character" w:styleId="Strong">
    <w:name w:val="Strong"/>
    <w:basedOn w:val="DefaultParagraphFont"/>
    <w:uiPriority w:val="22"/>
    <w:qFormat/>
    <w:rsid w:val="00fc693f"/>
    <w:rPr>
      <w:b/>
      <w:bCs/>
    </w:rPr>
  </w:style>
  <w:style w:type="character" w:styleId="Enfasi">
    <w:name w:val="Enfasi"/>
    <w:basedOn w:val="DefaultParagraphFont"/>
    <w:uiPriority w:val="20"/>
    <w:qFormat/>
    <w:rsid w:val="00fc693f"/>
    <w:rPr>
      <w:i/>
      <w:iCs/>
    </w:rPr>
  </w:style>
  <w:style w:type="character" w:styleId="IntenseQuoteChar" w:customStyle="1">
    <w:name w:val="Intense Quote Char"/>
    <w:basedOn w:val="DefaultParagraphFont"/>
    <w:link w:val="IntenseQuote"/>
    <w:uiPriority w:val="30"/>
    <w:qFormat/>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character" w:styleId="CollegamentoInternet">
    <w:name w:val="Collegamento Internet"/>
    <w:basedOn w:val="DefaultParagraphFont"/>
    <w:uiPriority w:val="99"/>
    <w:unhideWhenUsed/>
    <w:rsid w:val="00ab1914"/>
    <w:rPr>
      <w:color w:val="0000FF" w:themeColor="hyperlink"/>
      <w:u w:val="single"/>
    </w:rPr>
  </w:style>
  <w:style w:type="character" w:styleId="UnresolvedMention">
    <w:name w:val="Unresolved Mention"/>
    <w:basedOn w:val="DefaultParagraphFont"/>
    <w:uiPriority w:val="99"/>
    <w:semiHidden/>
    <w:unhideWhenUsed/>
    <w:qFormat/>
    <w:rsid w:val="00ab1914"/>
    <w:rPr>
      <w:color w:val="605E5C"/>
      <w:shd w:fill="E1DFDD" w:val="clear"/>
    </w:rPr>
  </w:style>
  <w:style w:type="paragraph" w:styleId="Titolo">
    <w:name w:val="Titolo"/>
    <w:basedOn w:val="Normal"/>
    <w:next w:val="Corpodeltesto"/>
    <w:qFormat/>
    <w:pPr>
      <w:keepNext w:val="true"/>
      <w:spacing w:before="240" w:after="120"/>
    </w:pPr>
    <w:rPr>
      <w:rFonts w:ascii="Liberation Sans" w:hAnsi="Liberation Sans" w:eastAsia="Microsoft YaHei" w:cs="Arial"/>
      <w:sz w:val="28"/>
      <w:szCs w:val="28"/>
    </w:rPr>
  </w:style>
  <w:style w:type="paragraph" w:styleId="Corpodeltesto">
    <w:name w:val="Body Text"/>
    <w:basedOn w:val="Normal"/>
    <w:link w:val="BodyTextChar"/>
    <w:uiPriority w:val="99"/>
    <w:unhideWhenUsed/>
    <w:rsid w:val="00aa1d8d"/>
    <w:pPr>
      <w:spacing w:before="0" w:after="120"/>
    </w:pPr>
    <w:rPr/>
  </w:style>
  <w:style w:type="paragraph" w:styleId="Elenco">
    <w:name w:val="List"/>
    <w:basedOn w:val="Normal"/>
    <w:uiPriority w:val="99"/>
    <w:unhideWhenUsed/>
    <w:rsid w:val="00aa1d8d"/>
    <w:pPr>
      <w:spacing w:before="0" w:after="200"/>
      <w:ind w:left="360" w:hanging="360"/>
      <w:contextualSpacing/>
    </w:pPr>
    <w:rPr/>
  </w:style>
  <w:style w:type="paragraph" w:styleId="Didascalia">
    <w:name w:val="Caption"/>
    <w:basedOn w:val="Normal"/>
    <w:qFormat/>
    <w:pPr>
      <w:suppressLineNumbers/>
      <w:spacing w:before="120" w:after="120"/>
    </w:pPr>
    <w:rPr>
      <w:rFonts w:cs="Arial"/>
      <w:i/>
      <w:iCs/>
      <w:sz w:val="24"/>
      <w:szCs w:val="24"/>
    </w:rPr>
  </w:style>
  <w:style w:type="paragraph" w:styleId="Indice">
    <w:name w:val="Indice"/>
    <w:basedOn w:val="Normal"/>
    <w:qFormat/>
    <w:pPr>
      <w:suppressLineNumbers/>
    </w:pPr>
    <w:rPr>
      <w:rFonts w:cs="Arial"/>
      <w:lang w:val="zxx" w:eastAsia="zxx" w:bidi="zxx"/>
    </w:rPr>
  </w:style>
  <w:style w:type="paragraph" w:styleId="Intestazioneepidipagina">
    <w:name w:val="Intestazione e piè di pagina"/>
    <w:basedOn w:val="Normal"/>
    <w:qFormat/>
    <w:pPr/>
    <w:rPr/>
  </w:style>
  <w:style w:type="paragraph" w:styleId="Intestazione">
    <w:name w:val="Header"/>
    <w:basedOn w:val="Normal"/>
    <w:link w:val="HeaderChar"/>
    <w:uiPriority w:val="99"/>
    <w:unhideWhenUsed/>
    <w:rsid w:val="00e618bf"/>
    <w:pPr>
      <w:tabs>
        <w:tab w:val="clear" w:pos="720"/>
        <w:tab w:val="center" w:pos="4680" w:leader="none"/>
        <w:tab w:val="right" w:pos="9360" w:leader="none"/>
      </w:tabs>
      <w:spacing w:lineRule="auto" w:line="240" w:before="0" w:after="0"/>
    </w:pPr>
    <w:rPr/>
  </w:style>
  <w:style w:type="paragraph" w:styleId="Pidipagina">
    <w:name w:val="Footer"/>
    <w:basedOn w:val="Normal"/>
    <w:link w:val="FooterChar"/>
    <w:uiPriority w:val="99"/>
    <w:unhideWhenUsed/>
    <w:rsid w:val="00e618bf"/>
    <w:pPr>
      <w:tabs>
        <w:tab w:val="clear" w:pos="720"/>
        <w:tab w:val="center" w:pos="4680" w:leader="none"/>
        <w:tab w:val="right" w:pos="9360" w:leader="none"/>
      </w:tabs>
      <w:spacing w:lineRule="auto" w:line="240" w:before="0" w:after="0"/>
    </w:pPr>
    <w:rPr/>
  </w:style>
  <w:style w:type="paragraph" w:styleId="NoSpacing">
    <w:name w:val="No Spacing"/>
    <w:uiPriority w:val="1"/>
    <w:qFormat/>
    <w:rsid w:val="00fc693f"/>
    <w:pPr>
      <w:widowControl/>
      <w:suppressAutoHyphens w:val="true"/>
      <w:bidi w:val="0"/>
      <w:spacing w:lineRule="auto" w:line="240" w:before="0" w:after="0"/>
      <w:jc w:val="left"/>
    </w:pPr>
    <w:rPr>
      <w:rFonts w:ascii="Cambria" w:hAnsi="Cambria" w:eastAsia="ＭＳ 明朝" w:cs="" w:asciiTheme="minorHAnsi" w:cstheme="minorBidi" w:eastAsiaTheme="minorEastAsia" w:hAnsiTheme="minorHAnsi"/>
      <w:color w:val="auto"/>
      <w:kern w:val="0"/>
      <w:sz w:val="22"/>
      <w:szCs w:val="22"/>
      <w:lang w:val="en-US" w:eastAsia="en-US" w:bidi="ar-SA"/>
    </w:rPr>
  </w:style>
  <w:style w:type="paragraph" w:styleId="Titoloprincipale">
    <w:name w:val="Title"/>
    <w:basedOn w:val="Normal"/>
    <w:next w:val="Normal"/>
    <w:link w:val="TitleChar"/>
    <w:uiPriority w:val="10"/>
    <w:qFormat/>
    <w:rsid w:val="00fc693f"/>
    <w:pPr>
      <w:pBdr>
        <w:bottom w:val="single" w:sz="8" w:space="4" w:color="4F81BD"/>
      </w:pBdr>
      <w:spacing w:lineRule="auto" w:line="240" w:before="0" w:after="300"/>
      <w:contextualSpacing/>
    </w:pPr>
    <w:rPr>
      <w:rFonts w:ascii="Calibri" w:hAnsi="Calibri" w:eastAsia="ＭＳ ゴシック" w:cs="" w:asciiTheme="majorHAnsi" w:cstheme="majorBidi" w:eastAsiaTheme="majorEastAsia" w:hAnsiTheme="majorHAnsi"/>
      <w:color w:val="17365D" w:themeColor="text2" w:themeShade="bf"/>
      <w:spacing w:val="5"/>
      <w:kern w:val="2"/>
      <w:sz w:val="52"/>
      <w:szCs w:val="52"/>
    </w:rPr>
  </w:style>
  <w:style w:type="paragraph" w:styleId="Sottotitolo">
    <w:name w:val="Subtitle"/>
    <w:basedOn w:val="Normal"/>
    <w:next w:val="Normal"/>
    <w:link w:val="SubtitleChar"/>
    <w:uiPriority w:val="11"/>
    <w:qFormat/>
    <w:rsid w:val="00fc693f"/>
    <w:pPr/>
    <w:rPr>
      <w:rFonts w:ascii="Calibri" w:hAnsi="Calibri" w:eastAsia="ＭＳ ゴシック" w:cs="" w:asciiTheme="majorHAnsi" w:cstheme="majorBidi" w:eastAsiaTheme="majorEastAsia" w:hAnsiTheme="majorHAnsi"/>
      <w:i/>
      <w:iCs/>
      <w:color w:val="4F81BD" w:themeColor="accent1"/>
      <w:spacing w:val="15"/>
      <w:sz w:val="24"/>
      <w:szCs w:val="24"/>
    </w:rPr>
  </w:style>
  <w:style w:type="paragraph" w:styleId="ListParagraph">
    <w:name w:val="List Paragraph"/>
    <w:basedOn w:val="Normal"/>
    <w:uiPriority w:val="34"/>
    <w:qFormat/>
    <w:rsid w:val="00fc693f"/>
    <w:pPr>
      <w:spacing w:before="0" w:after="200"/>
      <w:ind w:left="720" w:hanging="0"/>
      <w:contextualSpacing/>
    </w:pPr>
    <w:rPr/>
  </w:style>
  <w:style w:type="paragraph" w:styleId="BodyText2">
    <w:name w:val="Body Text 2"/>
    <w:basedOn w:val="Normal"/>
    <w:link w:val="BodyText2Char"/>
    <w:uiPriority w:val="99"/>
    <w:unhideWhenUsed/>
    <w:qFormat/>
    <w:rsid w:val="00aa1d8d"/>
    <w:pPr>
      <w:spacing w:lineRule="auto" w:line="480" w:before="0" w:after="120"/>
    </w:pPr>
    <w:rPr/>
  </w:style>
  <w:style w:type="paragraph" w:styleId="BodyText3">
    <w:name w:val="Body Text 3"/>
    <w:basedOn w:val="Normal"/>
    <w:link w:val="BodyText3Char"/>
    <w:uiPriority w:val="99"/>
    <w:unhideWhenUsed/>
    <w:qFormat/>
    <w:rsid w:val="00aa1d8d"/>
    <w:pPr>
      <w:spacing w:before="0" w:after="120"/>
    </w:pPr>
    <w:rPr>
      <w:sz w:val="16"/>
      <w:szCs w:val="16"/>
    </w:rPr>
  </w:style>
  <w:style w:type="paragraph" w:styleId="ListBullet3">
    <w:name w:val="List Bullet 3"/>
    <w:basedOn w:val="Normal"/>
    <w:uiPriority w:val="99"/>
    <w:unhideWhenUsed/>
    <w:qFormat/>
    <w:rsid w:val="00326f90"/>
    <w:pPr>
      <w:numPr>
        <w:ilvl w:val="0"/>
        <w:numId w:val="3"/>
      </w:numPr>
      <w:spacing w:before="0" w:after="200"/>
      <w:contextualSpacing/>
    </w:pPr>
    <w:rPr/>
  </w:style>
  <w:style w:type="paragraph" w:styleId="ListBullet4">
    <w:name w:val="List Bullet 4"/>
    <w:basedOn w:val="Normal"/>
    <w:uiPriority w:val="99"/>
    <w:unhideWhenUsed/>
    <w:qFormat/>
    <w:rsid w:val="00326f90"/>
    <w:pPr>
      <w:spacing w:before="0" w:after="200"/>
      <w:ind w:left="1080" w:hanging="360"/>
      <w:contextualSpacing/>
    </w:pPr>
    <w:rPr/>
  </w:style>
  <w:style w:type="paragraph" w:styleId="ListBullet">
    <w:name w:val="List Bullet"/>
    <w:basedOn w:val="Normal"/>
    <w:uiPriority w:val="99"/>
    <w:unhideWhenUsed/>
    <w:qFormat/>
    <w:rsid w:val="00326f90"/>
    <w:pPr>
      <w:numPr>
        <w:ilvl w:val="0"/>
        <w:numId w:val="1"/>
      </w:numPr>
      <w:spacing w:before="0" w:after="200"/>
      <w:contextualSpacing/>
    </w:pPr>
    <w:rPr/>
  </w:style>
  <w:style w:type="paragraph" w:styleId="ListBullet2">
    <w:name w:val="List Bullet 2"/>
    <w:basedOn w:val="Normal"/>
    <w:uiPriority w:val="99"/>
    <w:unhideWhenUsed/>
    <w:qFormat/>
    <w:rsid w:val="00326f90"/>
    <w:pPr>
      <w:numPr>
        <w:ilvl w:val="0"/>
        <w:numId w:val="2"/>
      </w:numPr>
      <w:spacing w:before="0" w:after="200"/>
      <w:contextualSpacing/>
    </w:pPr>
    <w:rPr/>
  </w:style>
  <w:style w:type="paragraph" w:styleId="ListNumber">
    <w:name w:val="List Number"/>
    <w:basedOn w:val="Normal"/>
    <w:uiPriority w:val="99"/>
    <w:unhideWhenUsed/>
    <w:qFormat/>
    <w:rsid w:val="00326f90"/>
    <w:pPr>
      <w:numPr>
        <w:ilvl w:val="0"/>
        <w:numId w:val="4"/>
      </w:numPr>
      <w:spacing w:before="0" w:after="200"/>
      <w:contextualSpacing/>
    </w:pPr>
    <w:rPr/>
  </w:style>
  <w:style w:type="paragraph" w:styleId="ListNumber2">
    <w:name w:val="List Number 2"/>
    <w:basedOn w:val="Normal"/>
    <w:uiPriority w:val="99"/>
    <w:unhideWhenUsed/>
    <w:qFormat/>
    <w:rsid w:val="0029639d"/>
    <w:pPr>
      <w:numPr>
        <w:ilvl w:val="0"/>
        <w:numId w:val="5"/>
      </w:numPr>
      <w:spacing w:before="0" w:after="200"/>
      <w:contextualSpacing/>
    </w:pPr>
    <w:rPr/>
  </w:style>
  <w:style w:type="paragraph" w:styleId="ListNumber3">
    <w:name w:val="List Number 3"/>
    <w:basedOn w:val="Normal"/>
    <w:uiPriority w:val="99"/>
    <w:unhideWhenUsed/>
    <w:qFormat/>
    <w:rsid w:val="0029639d"/>
    <w:pPr>
      <w:numPr>
        <w:ilvl w:val="0"/>
        <w:numId w:val="6"/>
      </w:numPr>
      <w:spacing w:before="0" w:after="200"/>
      <w:contextualSpacing/>
    </w:pPr>
    <w:rPr/>
  </w:style>
  <w:style w:type="paragraph" w:styleId="ListContinue">
    <w:name w:val="List Continue"/>
    <w:basedOn w:val="Normal"/>
    <w:uiPriority w:val="99"/>
    <w:unhideWhenUsed/>
    <w:qFormat/>
    <w:rsid w:val="0029639d"/>
    <w:pPr>
      <w:spacing w:before="0" w:after="120"/>
      <w:ind w:left="360" w:hanging="0"/>
      <w:contextualSpacing/>
    </w:pPr>
    <w:rPr/>
  </w:style>
  <w:style w:type="paragraph" w:styleId="ListContinue2">
    <w:name w:val="List Continue 2"/>
    <w:basedOn w:val="Normal"/>
    <w:uiPriority w:val="99"/>
    <w:unhideWhenUsed/>
    <w:qFormat/>
    <w:rsid w:val="0029639d"/>
    <w:pPr>
      <w:spacing w:before="0" w:after="120"/>
      <w:ind w:left="720" w:hanging="0"/>
      <w:contextualSpacing/>
    </w:pPr>
    <w:rPr/>
  </w:style>
  <w:style w:type="paragraph" w:styleId="ListContinue3">
    <w:name w:val="List Continue 3"/>
    <w:basedOn w:val="Normal"/>
    <w:uiPriority w:val="99"/>
    <w:unhideWhenUsed/>
    <w:qFormat/>
    <w:rsid w:val="0029639d"/>
    <w:pPr>
      <w:spacing w:before="0" w:after="120"/>
      <w:ind w:left="1080" w:hanging="0"/>
      <w:contextualSpacing/>
    </w:pPr>
    <w:rPr/>
  </w:style>
  <w:style w:type="paragraph" w:styleId="Macro">
    <w:name w:val="macro"/>
    <w:link w:val="MacroTextChar"/>
    <w:uiPriority w:val="99"/>
    <w:unhideWhenUsed/>
    <w:qFormat/>
    <w:rsid w:val="0029639d"/>
    <w:pPr>
      <w:widowControl/>
      <w:tabs>
        <w:tab w:val="clear" w:pos="720"/>
        <w:tab w:val="left" w:pos="576" w:leader="none"/>
        <w:tab w:val="left" w:pos="1152" w:leader="none"/>
        <w:tab w:val="left" w:pos="1728" w:leader="none"/>
        <w:tab w:val="left" w:pos="2304" w:leader="none"/>
        <w:tab w:val="left" w:pos="2880" w:leader="none"/>
        <w:tab w:val="left" w:pos="3456" w:leader="none"/>
        <w:tab w:val="left" w:pos="4032" w:leader="none"/>
      </w:tabs>
      <w:suppressAutoHyphens w:val="true"/>
      <w:bidi w:val="0"/>
      <w:spacing w:lineRule="auto" w:line="276" w:before="0" w:after="200"/>
      <w:jc w:val="left"/>
    </w:pPr>
    <w:rPr>
      <w:rFonts w:ascii="Courier" w:hAnsi="Courier" w:eastAsia="ＭＳ 明朝" w:cs="" w:cstheme="minorBidi" w:eastAsiaTheme="minorEastAsia"/>
      <w:color w:val="auto"/>
      <w:kern w:val="0"/>
      <w:sz w:val="20"/>
      <w:szCs w:val="20"/>
      <w:lang w:val="en-US" w:eastAsia="en-US" w:bidi="ar-SA"/>
    </w:rPr>
  </w:style>
  <w:style w:type="paragraph" w:styleId="Quote">
    <w:name w:val="Quote"/>
    <w:basedOn w:val="Normal"/>
    <w:next w:val="Normal"/>
    <w:link w:val="QuoteChar"/>
    <w:uiPriority w:val="29"/>
    <w:qFormat/>
    <w:rsid w:val="00fc693f"/>
    <w:pPr/>
    <w:rPr>
      <w:i/>
      <w:iCs/>
      <w:color w:val="000000" w:themeColor="text1"/>
    </w:rPr>
  </w:style>
  <w:style w:type="paragraph" w:styleId="Caption">
    <w:name w:val="caption"/>
    <w:basedOn w:val="Normal"/>
    <w:next w:val="Normal"/>
    <w:uiPriority w:val="35"/>
    <w:semiHidden/>
    <w:unhideWhenUsed/>
    <w:qFormat/>
    <w:rsid w:val="00fc693f"/>
    <w:pPr>
      <w:spacing w:lineRule="auto" w:line="240"/>
    </w:pPr>
    <w:rPr>
      <w:b/>
      <w:bCs/>
      <w:color w:val="4F81BD" w:themeColor="accent1"/>
      <w:sz w:val="18"/>
      <w:szCs w:val="18"/>
    </w:rPr>
  </w:style>
  <w:style w:type="paragraph" w:styleId="IntenseQuote">
    <w:name w:val="Intense Quote"/>
    <w:basedOn w:val="Normal"/>
    <w:next w:val="Normal"/>
    <w:link w:val="IntenseQuoteChar"/>
    <w:uiPriority w:val="30"/>
    <w:qFormat/>
    <w:rsid w:val="00fc693f"/>
    <w:pPr>
      <w:pBdr>
        <w:bottom w:val="single" w:sz="4" w:space="4" w:color="4F81BD"/>
      </w:pBdr>
      <w:spacing w:before="200" w:after="280"/>
      <w:ind w:left="936" w:right="936" w:hanging="0"/>
    </w:pPr>
    <w:rPr>
      <w:b/>
      <w:bCs/>
      <w:i/>
      <w:iCs/>
      <w:color w:val="4F81BD" w:themeColor="accent1"/>
    </w:rPr>
  </w:style>
  <w:style w:type="paragraph" w:styleId="Titoloindiceanalitico">
    <w:name w:val="Index Heading"/>
    <w:basedOn w:val="Titolo"/>
    <w:pPr/>
    <w:rPr/>
  </w:style>
  <w:style w:type="paragraph" w:styleId="Titoloindice">
    <w:name w:val="TOC Heading"/>
    <w:basedOn w:val="Titolo1"/>
    <w:next w:val="Normal"/>
    <w:uiPriority w:val="39"/>
    <w:semiHidden/>
    <w:unhideWhenUsed/>
    <w:qFormat/>
    <w:rsid w:val="00fc693f"/>
    <w:pPr>
      <w:outlineLvl w:val="9"/>
    </w:pPr>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table" w:styleId="TableGrid">
    <w:name w:val="Table Grid"/>
    <w:basedOn w:val="TableNormal"/>
    <w:uiPriority w:val="59"/>
    <w:rsid w:val="00fc693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color="000000" w:themeColor="text1" w:sz="8" w:space="0"/>
        <w:bottom w:val="single" w:color="000000" w:themeColor="text1" w:sz="8" w:space="0"/>
      </w:tblBorders>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color="4F81BD" w:themeColor="accent1" w:sz="8" w:space="0"/>
        <w:bottom w:val="single" w:color="4F81BD" w:themeColor="accent1" w:sz="8" w:space="0"/>
      </w:tblBorders>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color="C0504D" w:themeColor="accent2" w:sz="8" w:space="0"/>
        <w:bottom w:val="single" w:color="C0504D" w:themeColor="accent2" w:sz="8" w:space="0"/>
      </w:tblBorders>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color="9BBB59" w:themeColor="accent3" w:sz="8" w:space="0"/>
        <w:bottom w:val="single" w:color="9BBB59" w:themeColor="accent3" w:sz="8" w:space="0"/>
      </w:tblBorders>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color="8064A2" w:themeColor="accent4" w:sz="8" w:space="0"/>
        <w:bottom w:val="single" w:color="8064A2" w:themeColor="accent4" w:sz="8" w:space="0"/>
      </w:tblBorders>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color="4BACC6" w:themeColor="accent5" w:sz="8" w:space="0"/>
        <w:bottom w:val="single" w:color="4BACC6" w:themeColor="accent5" w:sz="8" w:space="0"/>
      </w:tblBorders>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color="F79646" w:themeColor="accent6" w:sz="8" w:space="0"/>
        <w:bottom w:val="single" w:color="F79646" w:themeColor="accent6" w:sz="8" w:space="0"/>
      </w:tblBorders>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Pr/>
    </w:tblStylePr>
    <w:tblStylePr w:type="lastCol">
      <w:rPr>
        <w:b/>
        <w:bCs/>
      </w:rPr>
      <w:tbl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Pr/>
    </w:tblStylePr>
    <w:tblStylePr w:type="lastCol">
      <w:rPr>
        <w:b/>
        <w:bCs/>
      </w:rPr>
      <w:tbl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Pr/>
    </w:tblStylePr>
    <w:tblStylePr w:type="lastCol">
      <w:rPr>
        <w:b/>
        <w:bCs/>
      </w:rPr>
      <w:tbl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Pr/>
    </w:tblStylePr>
    <w:tblStylePr w:type="lastCol">
      <w:rPr>
        <w:b/>
        <w:bCs/>
      </w:rPr>
      <w:tbl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Pr/>
    </w:tblStylePr>
    <w:tblStylePr w:type="lastCol">
      <w:rPr>
        <w:b/>
        <w:bCs/>
      </w:rPr>
      <w:tbl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Pr/>
    </w:tblStylePr>
    <w:tblStylePr w:type="lastCol">
      <w:rPr>
        <w:b/>
        <w:bCs/>
      </w:rPr>
      <w:tbl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Pr/>
    </w:tblStylePr>
    <w:tblStylePr w:type="lastCol">
      <w:rPr>
        <w:b/>
        <w:bCs/>
      </w:rPr>
      <w:tbl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color="000000" w:themeColor="tex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color="000000" w:themeColor="text1"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C0C0C0"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shd w:val="clear" w:color="auto" w:fill="C0C0C0"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color="4F81BD" w:themeColor="accen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color="4F81BD" w:themeColor="accent1"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color="C0504D" w:themeColor="accent2"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color="C0504D" w:themeColor="accent2"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2"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shd w:val="clear" w:color="auto" w:fill="EFD3D2"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color="9BBB59" w:themeColor="accent3"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color="9BBB59" w:themeColor="accent3"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color="8064A2" w:themeColor="accent4"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color="8064A2" w:themeColor="accent4"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color="4BACC6" w:themeColor="accent5"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color="4BACC6" w:themeColor="accent5"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1"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shd w:val="clear" w:color="auto" w:fill="D2EAF1"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color="F79646" w:themeColor="accent6"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color="F79646" w:themeColor="accent6"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4D0"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shd w:val="clear" w:color="auto" w:fill="FDE4D0"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Pr>
    <w:tblStylePr w:type="firstRow">
      <w:pPr>
        <w:spacing w:before="0" w:after="0" w:line="240" w:lineRule="auto"/>
      </w:pPr>
      <w:rPr>
        <w:b/>
        <w:bCs/>
        <w:color w:val="FFFFFF" w:themeColor="background1"/>
      </w:rPr>
      <w:tblPr/>
      <w:tcPr>
        <w:tcBorders>
          <w:top w:val="single" w:color="404040" w:themeColor="text1" w:sz="8" w:space="0"/>
          <w:left w:val="single" w:color="404040" w:themeColor="text1" w:sz="8" w:space="0"/>
          <w:bottom w:val="single" w:color="404040" w:themeColor="text1" w:sz="8" w:space="0"/>
          <w:right w:val="single" w:color="404040" w:themeColor="text1" w:sz="8" w:space="0"/>
          <w:insideH w:val="nil"/>
          <w:insideV w:val="nil"/>
        </w:tcBorders>
        <w:shd w:val="clear" w:color="auto" w:fill="000000" w:themeFill="text1"/>
      </w:tcPr>
    </w:tblStylePr>
    <w:tblStylePr w:type="lastRow">
      <w:pPr>
        <w:spacing w:before="0" w:after="0" w:line="240" w:lineRule="auto"/>
      </w:pPr>
      <w:rPr>
        <w:b/>
        <w:bCs/>
      </w:rPr>
      <w:tblPr/>
      <w:tcPr>
        <w:tcBorders>
          <w:top w:val="double" w:color="404040" w:themeColor="text1" w:sz="6" w:space="0"/>
          <w:left w:val="single" w:color="404040" w:themeColor="text1" w:sz="8" w:space="0"/>
          <w:bottom w:val="single" w:color="404040" w:themeColor="text1" w:sz="8" w:space="0"/>
          <w:right w:val="single" w:color="404040" w:themeColor="text1" w:sz="8" w:space="0"/>
          <w:insideH w:val="nil"/>
          <w:insideV w:val="nil"/>
        </w:tcBorders>
      </w:tcPr>
    </w:tblStylePr>
    <w:tblStylePr w:type="firstCol">
      <w:rPr>
        <w:b/>
        <w:bCs/>
      </w:rPr>
      <w:tblPr/>
    </w:tblStylePr>
    <w:tblStylePr w:type="lastCol">
      <w:rPr>
        <w:b/>
        <w:bCs/>
      </w:rPr>
      <w:tbl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Pr>
    <w:tblStylePr w:type="firstRow">
      <w:pPr>
        <w:spacing w:before="0" w:after="0" w:line="240" w:lineRule="auto"/>
      </w:pPr>
      <w:rPr>
        <w:b/>
        <w:bCs/>
        <w:color w:val="FFFFFF" w:themeColor="background1"/>
      </w:rPr>
      <w:tblPr/>
      <w:tcPr>
        <w:tcBorders>
          <w:top w:val="single" w:color="7BA0CD" w:themeColor="accent1" w:sz="8" w:space="0"/>
          <w:left w:val="single" w:color="7BA0CD" w:themeColor="accent1" w:sz="8" w:space="0"/>
          <w:bottom w:val="single" w:color="7BA0CD" w:themeColor="accent1" w:sz="8" w:space="0"/>
          <w:right w:val="single" w:color="7BA0CD" w:themeColor="accent1"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sz="6" w:space="0"/>
          <w:left w:val="single" w:color="7BA0CD" w:themeColor="accent1" w:sz="8" w:space="0"/>
          <w:bottom w:val="single" w:color="7BA0CD" w:themeColor="accent1" w:sz="8" w:space="0"/>
          <w:right w:val="single" w:color="7BA0CD" w:themeColor="accent1" w:sz="8" w:space="0"/>
          <w:insideH w:val="nil"/>
          <w:insideV w:val="nil"/>
        </w:tcBorders>
      </w:tcPr>
    </w:tblStylePr>
    <w:tblStylePr w:type="firstCol">
      <w:rPr>
        <w:b/>
        <w:bCs/>
      </w:rPr>
      <w:tblPr/>
    </w:tblStylePr>
    <w:tblStylePr w:type="lastCol">
      <w:rPr>
        <w:b/>
        <w:bCs/>
      </w:rPr>
      <w:tbl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Pr>
    <w:tblStylePr w:type="firstRow">
      <w:pPr>
        <w:spacing w:before="0" w:after="0" w:line="240" w:lineRule="auto"/>
      </w:pPr>
      <w:rPr>
        <w:b/>
        <w:bCs/>
        <w:color w:val="FFFFFF" w:themeColor="background1"/>
      </w:rPr>
      <w:tblPr/>
      <w:tcPr>
        <w:tcBorders>
          <w:top w:val="single" w:color="CF7B79" w:themeColor="accent2" w:sz="8" w:space="0"/>
          <w:left w:val="single" w:color="CF7B79" w:themeColor="accent2" w:sz="8" w:space="0"/>
          <w:bottom w:val="single" w:color="CF7B79" w:themeColor="accent2" w:sz="8" w:space="0"/>
          <w:right w:val="single" w:color="CF7B79" w:themeColor="accent2"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sz="6" w:space="0"/>
          <w:left w:val="single" w:color="CF7B79" w:themeColor="accent2" w:sz="8" w:space="0"/>
          <w:bottom w:val="single" w:color="CF7B79" w:themeColor="accent2" w:sz="8" w:space="0"/>
          <w:right w:val="single" w:color="CF7B79" w:themeColor="accent2" w:sz="8" w:space="0"/>
          <w:insideH w:val="nil"/>
          <w:insideV w:val="nil"/>
        </w:tcBorders>
      </w:tcPr>
    </w:tblStylePr>
    <w:tblStylePr w:type="firstCol">
      <w:rPr>
        <w:b/>
        <w:bCs/>
      </w:rPr>
      <w:tblPr/>
    </w:tblStylePr>
    <w:tblStylePr w:type="lastCol">
      <w:rPr>
        <w:b/>
        <w:bCs/>
      </w:rPr>
      <w:tbl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tblBorders>
    </w:tblPr>
    <w:tblStylePr w:type="firstRow">
      <w:pPr>
        <w:spacing w:before="0" w:after="0" w:line="240" w:lineRule="auto"/>
      </w:pPr>
      <w:rPr>
        <w:b/>
        <w:bCs/>
        <w:color w:val="FFFFFF" w:themeColor="background1"/>
      </w:rPr>
      <w:tblPr/>
      <w:tcPr>
        <w:tcBorders>
          <w:top w:val="single" w:color="B3CC82" w:themeColor="accent3" w:sz="8" w:space="0"/>
          <w:left w:val="single" w:color="B3CC82" w:themeColor="accent3" w:sz="8" w:space="0"/>
          <w:bottom w:val="single" w:color="B3CC82" w:themeColor="accent3" w:sz="8" w:space="0"/>
          <w:right w:val="single" w:color="B3CC82" w:themeColor="accent3"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3CC82" w:themeColor="accent3" w:sz="6" w:space="0"/>
          <w:left w:val="single" w:color="B3CC82" w:themeColor="accent3" w:sz="8" w:space="0"/>
          <w:bottom w:val="single" w:color="B3CC82" w:themeColor="accent3" w:sz="8" w:space="0"/>
          <w:right w:val="single" w:color="B3CC82" w:themeColor="accent3" w:sz="8" w:space="0"/>
          <w:insideH w:val="nil"/>
          <w:insideV w:val="nil"/>
        </w:tcBorders>
      </w:tcPr>
    </w:tblStylePr>
    <w:tblStylePr w:type="firstCol">
      <w:rPr>
        <w:b/>
        <w:bCs/>
      </w:rPr>
      <w:tblPr/>
    </w:tblStylePr>
    <w:tblStylePr w:type="lastCol">
      <w:rPr>
        <w:b/>
        <w:bCs/>
      </w:rPr>
      <w:tbl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Pr>
    <w:tblStylePr w:type="firstRow">
      <w:pPr>
        <w:spacing w:before="0" w:after="0" w:line="240" w:lineRule="auto"/>
      </w:pPr>
      <w:rPr>
        <w:b/>
        <w:bCs/>
        <w:color w:val="FFFFFF" w:themeColor="background1"/>
      </w:rPr>
      <w:tblPr/>
      <w:tcPr>
        <w:tcBorders>
          <w:top w:val="single" w:color="9F8AB9" w:themeColor="accent4" w:sz="8" w:space="0"/>
          <w:left w:val="single" w:color="9F8AB9" w:themeColor="accent4" w:sz="8" w:space="0"/>
          <w:bottom w:val="single" w:color="9F8AB9" w:themeColor="accent4" w:sz="8" w:space="0"/>
          <w:right w:val="single" w:color="9F8AB9" w:themeColor="accent4"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sz="6" w:space="0"/>
          <w:left w:val="single" w:color="9F8AB9" w:themeColor="accent4" w:sz="8" w:space="0"/>
          <w:bottom w:val="single" w:color="9F8AB9" w:themeColor="accent4" w:sz="8" w:space="0"/>
          <w:right w:val="single" w:color="9F8AB9" w:themeColor="accent4" w:sz="8" w:space="0"/>
          <w:insideH w:val="nil"/>
          <w:insideV w:val="nil"/>
        </w:tcBorders>
      </w:tcPr>
    </w:tblStylePr>
    <w:tblStylePr w:type="firstCol">
      <w:rPr>
        <w:b/>
        <w:bCs/>
      </w:rPr>
      <w:tblPr/>
    </w:tblStylePr>
    <w:tblStylePr w:type="lastCol">
      <w:rPr>
        <w:b/>
        <w:bCs/>
      </w:rPr>
      <w:tbl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Pr>
    <w:tblStylePr w:type="firstRow">
      <w:pPr>
        <w:spacing w:before="0" w:after="0" w:line="240" w:lineRule="auto"/>
      </w:pPr>
      <w:rPr>
        <w:b/>
        <w:bCs/>
        <w:color w:val="FFFFFF" w:themeColor="background1"/>
      </w:rPr>
      <w:tblPr/>
      <w:tcPr>
        <w:tcBorders>
          <w:top w:val="single" w:color="78C0D4" w:themeColor="accent5" w:sz="8" w:space="0"/>
          <w:left w:val="single" w:color="78C0D4" w:themeColor="accent5" w:sz="8" w:space="0"/>
          <w:bottom w:val="single" w:color="78C0D4" w:themeColor="accent5" w:sz="8" w:space="0"/>
          <w:right w:val="single" w:color="78C0D4" w:themeColor="accent5"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sz="6" w:space="0"/>
          <w:left w:val="single" w:color="78C0D4" w:themeColor="accent5" w:sz="8" w:space="0"/>
          <w:bottom w:val="single" w:color="78C0D4" w:themeColor="accent5" w:sz="8" w:space="0"/>
          <w:right w:val="single" w:color="78C0D4" w:themeColor="accent5" w:sz="8" w:space="0"/>
          <w:insideH w:val="nil"/>
          <w:insideV w:val="nil"/>
        </w:tcBorders>
      </w:tcPr>
    </w:tblStylePr>
    <w:tblStylePr w:type="firstCol">
      <w:rPr>
        <w:b/>
        <w:bCs/>
      </w:rPr>
      <w:tblPr/>
    </w:tblStylePr>
    <w:tblStylePr w:type="lastCol">
      <w:rPr>
        <w:b/>
        <w:bCs/>
      </w:rPr>
      <w:tbl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Pr>
    <w:tblStylePr w:type="firstRow">
      <w:pPr>
        <w:spacing w:before="0" w:after="0" w:line="240" w:lineRule="auto"/>
      </w:pPr>
      <w:rPr>
        <w:b/>
        <w:bCs/>
        <w:color w:val="FFFFFF" w:themeColor="background1"/>
      </w:rPr>
      <w:tblPr/>
      <w:tcPr>
        <w:tcBorders>
          <w:top w:val="single" w:color="F9B074" w:themeColor="accent6" w:sz="8" w:space="0"/>
          <w:left w:val="single" w:color="F9B074" w:themeColor="accent6" w:sz="8" w:space="0"/>
          <w:bottom w:val="single" w:color="F9B074" w:themeColor="accent6" w:sz="8" w:space="0"/>
          <w:right w:val="single" w:color="F9B074" w:themeColor="accent6"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sz="6" w:space="0"/>
          <w:left w:val="single" w:color="F9B074" w:themeColor="accent6" w:sz="8" w:space="0"/>
          <w:bottom w:val="single" w:color="F9B074" w:themeColor="accent6" w:sz="8" w:space="0"/>
          <w:right w:val="single" w:color="F9B074" w:themeColor="accent6" w:sz="8" w:space="0"/>
          <w:insideH w:val="nil"/>
          <w:insideV w:val="nil"/>
        </w:tcBorders>
      </w:tcPr>
    </w:tblStylePr>
    <w:tblStylePr w:type="firstCol">
      <w:rPr>
        <w:b/>
        <w:bCs/>
      </w:rPr>
      <w:tblPr/>
    </w:tblStylePr>
    <w:tblStylePr w:type="lastCol">
      <w:rPr>
        <w:b/>
        <w:bCs/>
      </w:rPr>
      <w:tbl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color="000000" w:themeColor="text1" w:sz="8" w:space="0"/>
        <w:bottom w:val="single" w:color="000000" w:themeColor="text1" w:sz="8" w:space="0"/>
      </w:tblBorders>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rPr>
      <w:tblPr/>
      <w:tcPr>
        <w:tcBorders>
          <w:top w:val="single" w:color="000000" w:themeColor="text1" w:sz="8" w:space="0"/>
          <w:bottom w:val="single" w:color="000000" w:themeColor="text1" w:sz="8" w:space="0"/>
        </w:tcBorders>
      </w:tcPr>
    </w:tblStylePr>
    <w:tblStylePr w:type="firstCol">
      <w:rPr>
        <w:b/>
        <w:bCs/>
      </w:rPr>
      <w:tbl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color="4F81BD" w:themeColor="accent1" w:sz="8" w:space="0"/>
        <w:bottom w:val="single" w:color="4F81BD" w:themeColor="accent1" w:sz="8" w:space="0"/>
      </w:tblBorders>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rPr>
      <w:tblPr/>
      <w:tcPr>
        <w:tcBorders>
          <w:top w:val="single" w:color="4F81BD" w:themeColor="accent1" w:sz="8" w:space="0"/>
          <w:bottom w:val="single" w:color="4F81BD" w:themeColor="accent1" w:sz="8" w:space="0"/>
        </w:tcBorders>
      </w:tcPr>
    </w:tblStylePr>
    <w:tblStylePr w:type="firstCol">
      <w:rPr>
        <w:b/>
        <w:bCs/>
      </w:rPr>
      <w:tbl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color="C0504D" w:themeColor="accent2" w:sz="8" w:space="0"/>
        <w:bottom w:val="single" w:color="C0504D" w:themeColor="accent2" w:sz="8" w:space="0"/>
      </w:tblBorders>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rPr>
      <w:tblPr/>
      <w:tcPr>
        <w:tcBorders>
          <w:top w:val="single" w:color="C0504D" w:themeColor="accent2" w:sz="8" w:space="0"/>
          <w:bottom w:val="single" w:color="C0504D" w:themeColor="accent2" w:sz="8" w:space="0"/>
        </w:tcBorders>
      </w:tcPr>
    </w:tblStylePr>
    <w:tblStylePr w:type="firstCol">
      <w:rPr>
        <w:b/>
        <w:bCs/>
      </w:rPr>
      <w:tbl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color="9BBB59" w:themeColor="accent3" w:sz="8" w:space="0"/>
        <w:bottom w:val="single" w:color="9BBB59" w:themeColor="accent3" w:sz="8" w:space="0"/>
      </w:tblBorders>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rPr>
      <w:tblPr/>
      <w:tcPr>
        <w:tcBorders>
          <w:top w:val="single" w:color="9BBB59" w:themeColor="accent3" w:sz="8" w:space="0"/>
          <w:bottom w:val="single" w:color="9BBB59" w:themeColor="accent3" w:sz="8" w:space="0"/>
        </w:tcBorders>
      </w:tcPr>
    </w:tblStylePr>
    <w:tblStylePr w:type="firstCol">
      <w:rPr>
        <w:b/>
        <w:bCs/>
      </w:rPr>
      <w:tbl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color="8064A2" w:themeColor="accent4" w:sz="8" w:space="0"/>
        <w:bottom w:val="single" w:color="8064A2" w:themeColor="accent4" w:sz="8" w:space="0"/>
      </w:tblBorders>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rPr>
      <w:tblPr/>
      <w:tcPr>
        <w:tcBorders>
          <w:top w:val="single" w:color="8064A2" w:themeColor="accent4" w:sz="8" w:space="0"/>
          <w:bottom w:val="single" w:color="8064A2" w:themeColor="accent4" w:sz="8" w:space="0"/>
        </w:tcBorders>
      </w:tcPr>
    </w:tblStylePr>
    <w:tblStylePr w:type="firstCol">
      <w:rPr>
        <w:b/>
        <w:bCs/>
      </w:rPr>
      <w:tbl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color="4BACC6" w:themeColor="accent5" w:sz="8" w:space="0"/>
        <w:bottom w:val="single" w:color="4BACC6" w:themeColor="accent5" w:sz="8" w:space="0"/>
      </w:tblBorders>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rPr>
      <w:tblPr/>
      <w:tcPr>
        <w:tcBorders>
          <w:top w:val="single" w:color="4BACC6" w:themeColor="accent5" w:sz="8" w:space="0"/>
          <w:bottom w:val="single" w:color="4BACC6" w:themeColor="accent5" w:sz="8" w:space="0"/>
        </w:tcBorders>
      </w:tcPr>
    </w:tblStylePr>
    <w:tblStylePr w:type="firstCol">
      <w:rPr>
        <w:b/>
        <w:bCs/>
      </w:rPr>
      <w:tbl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color="F79646" w:themeColor="accent6" w:sz="8" w:space="0"/>
        <w:bottom w:val="single" w:color="F79646" w:themeColor="accent6" w:sz="8" w:space="0"/>
      </w:tblBorders>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rPr>
      <w:tblPr/>
      <w:tcPr>
        <w:tcBorders>
          <w:top w:val="single" w:color="F79646" w:themeColor="accent6" w:sz="8" w:space="0"/>
          <w:bottom w:val="single" w:color="F79646" w:themeColor="accent6" w:sz="8" w:space="0"/>
        </w:tcBorders>
      </w:tcPr>
    </w:tblStylePr>
    <w:tblStylePr w:type="firstCol">
      <w:rPr>
        <w:b/>
        <w:bCs/>
      </w:rPr>
      <w:tbl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Pr>
    <w:tcPr>
      <w:shd w:val="clear" w:color="auto" w:fill="C0C0C0" w:themeFill="text1" w:themeFillTint="3f"/>
    </w:tcPr>
    <w:tblStylePr w:type="firstRow">
      <w:rPr>
        <w:b/>
        <w:bCs/>
      </w:rPr>
      <w:tblPr/>
    </w:tblStylePr>
    <w:tblStylePr w:type="lastRow">
      <w:rPr>
        <w:b/>
        <w:bCs/>
      </w:rPr>
      <w:tblPr/>
      <w:tcPr>
        <w:tcBorders>
          <w:top w:val="single" w:color="404040" w:themeColor="text1" w:sz="18" w:space="0"/>
        </w:tcBorders>
      </w:tcPr>
    </w:tblStylePr>
    <w:tblStylePr w:type="firstCol">
      <w:rPr>
        <w:b/>
        <w:bCs/>
      </w:rPr>
      <w:tblPr/>
    </w:tblStylePr>
    <w:tblStylePr w:type="lastCol">
      <w:rPr>
        <w:b/>
        <w:bCs/>
      </w:rPr>
      <w:tbl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Pr>
    <w:tcPr>
      <w:shd w:val="clear" w:color="auto" w:fill="D3DFEE" w:themeFill="accent1" w:themeFillTint="3f"/>
    </w:tcPr>
    <w:tblStylePr w:type="firstRow">
      <w:rPr>
        <w:b/>
        <w:bCs/>
      </w:rPr>
      <w:tblPr/>
    </w:tblStylePr>
    <w:tblStylePr w:type="lastRow">
      <w:rPr>
        <w:b/>
        <w:bCs/>
      </w:rPr>
      <w:tblPr/>
      <w:tcPr>
        <w:tcBorders>
          <w:top w:val="single" w:color="7BA0CD" w:themeColor="accent1" w:sz="18" w:space="0"/>
        </w:tcBorders>
      </w:tcPr>
    </w:tblStylePr>
    <w:tblStylePr w:type="firstCol">
      <w:rPr>
        <w:b/>
        <w:bCs/>
      </w:rPr>
      <w:tblPr/>
    </w:tblStylePr>
    <w:tblStylePr w:type="lastCol">
      <w:rPr>
        <w:b/>
        <w:bCs/>
      </w:rPr>
      <w:tbl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Pr>
    <w:tcPr>
      <w:shd w:val="clear" w:color="auto" w:fill="EFD3D2" w:themeFill="accent2" w:themeFillTint="3f"/>
    </w:tcPr>
    <w:tblStylePr w:type="firstRow">
      <w:rPr>
        <w:b/>
        <w:bCs/>
      </w:rPr>
      <w:tblPr/>
    </w:tblStylePr>
    <w:tblStylePr w:type="lastRow">
      <w:rPr>
        <w:b/>
        <w:bCs/>
      </w:rPr>
      <w:tblPr/>
      <w:tcPr>
        <w:tcBorders>
          <w:top w:val="single" w:color="CF7B79" w:themeColor="accent2" w:sz="18" w:space="0"/>
        </w:tcBorders>
      </w:tcPr>
    </w:tblStylePr>
    <w:tblStylePr w:type="firstCol">
      <w:rPr>
        <w:b/>
        <w:bCs/>
      </w:rPr>
      <w:tblPr/>
    </w:tblStylePr>
    <w:tblStylePr w:type="lastCol">
      <w:rPr>
        <w:b/>
        <w:bCs/>
      </w:rPr>
      <w:tbl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insideV w:val="single" w:color="B3CC82" w:themeColor="accent3" w:themeTint="bf" w:sz="8" w:space="0"/>
      </w:tblBorders>
    </w:tblPr>
    <w:tcPr>
      <w:shd w:val="clear" w:color="auto" w:fill="E6EED5" w:themeFill="accent3" w:themeFillTint="3f"/>
    </w:tcPr>
    <w:tblStylePr w:type="firstRow">
      <w:rPr>
        <w:b/>
        <w:bCs/>
      </w:rPr>
      <w:tblPr/>
    </w:tblStylePr>
    <w:tblStylePr w:type="lastRow">
      <w:rPr>
        <w:b/>
        <w:bCs/>
      </w:rPr>
      <w:tblPr/>
      <w:tcPr>
        <w:tcBorders>
          <w:top w:val="single" w:color="B3CC82" w:themeColor="accent3" w:sz="18" w:space="0"/>
        </w:tcBorders>
      </w:tcPr>
    </w:tblStylePr>
    <w:tblStylePr w:type="firstCol">
      <w:rPr>
        <w:b/>
        <w:bCs/>
      </w:rPr>
      <w:tblPr/>
    </w:tblStylePr>
    <w:tblStylePr w:type="lastCol">
      <w:rPr>
        <w:b/>
        <w:bCs/>
      </w:rPr>
      <w:tbl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Pr>
    <w:tcPr>
      <w:shd w:val="clear" w:color="auto" w:fill="DFD8E8" w:themeFill="accent4" w:themeFillTint="3f"/>
    </w:tcPr>
    <w:tblStylePr w:type="firstRow">
      <w:rPr>
        <w:b/>
        <w:bCs/>
      </w:rPr>
      <w:tblPr/>
    </w:tblStylePr>
    <w:tblStylePr w:type="lastRow">
      <w:rPr>
        <w:b/>
        <w:bCs/>
      </w:rPr>
      <w:tblPr/>
      <w:tcPr>
        <w:tcBorders>
          <w:top w:val="single" w:color="9F8AB9" w:themeColor="accent4" w:sz="18" w:space="0"/>
        </w:tcBorders>
      </w:tcPr>
    </w:tblStylePr>
    <w:tblStylePr w:type="firstCol">
      <w:rPr>
        <w:b/>
        <w:bCs/>
      </w:rPr>
      <w:tblPr/>
    </w:tblStylePr>
    <w:tblStylePr w:type="lastCol">
      <w:rPr>
        <w:b/>
        <w:bCs/>
      </w:rPr>
      <w:tbl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Pr>
    <w:tcPr>
      <w:shd w:val="clear" w:color="auto" w:fill="D2EAF1" w:themeFill="accent5" w:themeFillTint="3f"/>
    </w:tcPr>
    <w:tblStylePr w:type="firstRow">
      <w:rPr>
        <w:b/>
        <w:bCs/>
      </w:rPr>
      <w:tblPr/>
    </w:tblStylePr>
    <w:tblStylePr w:type="lastRow">
      <w:rPr>
        <w:b/>
        <w:bCs/>
      </w:rPr>
      <w:tblPr/>
      <w:tcPr>
        <w:tcBorders>
          <w:top w:val="single" w:color="78C0D4" w:themeColor="accent5" w:sz="18" w:space="0"/>
        </w:tcBorders>
      </w:tcPr>
    </w:tblStylePr>
    <w:tblStylePr w:type="firstCol">
      <w:rPr>
        <w:b/>
        <w:bCs/>
      </w:rPr>
      <w:tblPr/>
    </w:tblStylePr>
    <w:tblStylePr w:type="lastCol">
      <w:rPr>
        <w:b/>
        <w:bCs/>
      </w:rPr>
      <w:tbl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Pr>
    <w:tcPr>
      <w:shd w:val="clear" w:color="auto" w:fill="FDE4D0" w:themeFill="accent6" w:themeFillTint="3f"/>
    </w:tcPr>
    <w:tblStylePr w:type="firstRow">
      <w:rPr>
        <w:b/>
        <w:bCs/>
      </w:rPr>
      <w:tblPr/>
    </w:tblStylePr>
    <w:tblStylePr w:type="lastRow">
      <w:rPr>
        <w:b/>
        <w:bCs/>
      </w:rPr>
      <w:tblPr/>
      <w:tcPr>
        <w:tcBorders>
          <w:top w:val="single" w:color="F9B074" w:themeColor="accent6" w:sz="18" w:space="0"/>
        </w:tcBorders>
      </w:tcPr>
    </w:tblStylePr>
    <w:tblStylePr w:type="firstCol">
      <w:rPr>
        <w:b/>
        <w:bCs/>
      </w:rPr>
      <w:tblPr/>
    </w:tblStylePr>
    <w:tblStylePr w:type="lastCol">
      <w:rPr>
        <w:b/>
        <w:bCs/>
      </w:rPr>
      <w:tbl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color="000000" w:themeColor="text1" w:sz="6" w:space="0"/>
          <w:insideV w:val="single" w:color="000000" w:themeColor="text1" w:sz="6" w:space="0"/>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color="4F81BD" w:themeColor="accent1" w:sz="6" w:space="0"/>
          <w:insideV w:val="single" w:color="4F81BD" w:themeColor="accent1" w:sz="6" w:space="0"/>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color="C0504D" w:themeColor="accent2" w:sz="6" w:space="0"/>
          <w:insideV w:val="single" w:color="C0504D" w:themeColor="accent2" w:sz="6" w:space="0"/>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color="9BBB59" w:themeColor="accent3" w:sz="6" w:space="0"/>
          <w:insideV w:val="single" w:color="9BBB59" w:themeColor="accent3" w:sz="6" w:space="0"/>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color="8064A2" w:themeColor="accent4" w:sz="6" w:space="0"/>
          <w:insideV w:val="single" w:color="8064A2" w:themeColor="accent4" w:sz="6" w:space="0"/>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color="4BACC6" w:themeColor="accent5" w:sz="6" w:space="0"/>
          <w:insideV w:val="single" w:color="4BACC6" w:themeColor="accent5" w:sz="6" w:space="0"/>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color="F79646" w:themeColor="accent6" w:sz="6" w:space="0"/>
          <w:insideV w:val="single" w:color="F79646" w:themeColor="accent6" w:sz="6" w:space="0"/>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C0C0C0" w:themeFill="text1"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000000" w:themeFill="text1"/>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000000" w:themeFill="text1"/>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808080"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3DFEE" w:themeFill="accent1"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F81BD" w:themeFill="accent1"/>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F81BD" w:themeFill="accent1"/>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BF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FD3D2" w:themeFill="accent2"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C0504D" w:themeFill="accent2"/>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C0504D" w:themeFill="accent2"/>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6EED5" w:themeFill="accent3"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9BBB59" w:themeFill="accent3"/>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9BBB59" w:themeFill="accent3"/>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FD8E8" w:themeFill="accent4"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8064A2" w:themeFill="accent4"/>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8064A2" w:themeFill="accent4"/>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2EAF1" w:themeFill="accent5"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BACC6" w:themeFill="accent5"/>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BACC6" w:themeFill="accent5"/>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DE4D0" w:themeFill="accent6"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F79646" w:themeFill="accent6"/>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F79646" w:themeFill="accent6"/>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5F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6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A"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Pr>
    <w:tcPr>
      <w:shd w:val="clear" w:color="auto" w:fill="E6E6E6"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color="000000" w:themeColor="text1" w:sz="4" w:space="0"/>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Pr/>
    </w:tblStylePr>
    <w:tblStylePr w:type="nwCell">
      <w:rPr>
        <w:color w:val="000000" w:themeColor="text1"/>
      </w:rPr>
      <w:tbl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color="2C4C74" w:themeColor="accent1" w:sz="4" w:space="0"/>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Pr/>
    </w:tblStylePr>
    <w:tblStylePr w:type="nwCell">
      <w:rPr>
        <w:color w:val="000000" w:themeColor="text1"/>
      </w:rPr>
      <w:tbl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color="772C2A" w:themeColor="accent2" w:sz="4" w:space="0"/>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Pr/>
    </w:tblStylePr>
    <w:tblStylePr w:type="nwCell">
      <w:rPr>
        <w:color w:val="000000" w:themeColor="text1"/>
      </w:rPr>
      <w:tbl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color="5E7530" w:themeColor="accent3" w:sz="4" w:space="0"/>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Pr>
    <w:tcPr>
      <w:shd w:val="clear" w:color="auto" w:fill="F2EFF6"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color="4C3B62" w:themeColor="accent4" w:sz="4" w:space="0"/>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Pr/>
    </w:tblStylePr>
    <w:tblStylePr w:type="nwCell">
      <w:rPr>
        <w:color w:val="000000" w:themeColor="text1"/>
      </w:rPr>
      <w:tbl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color="276A7C" w:themeColor="accent5" w:sz="4" w:space="0"/>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Pr/>
    </w:tblStylePr>
    <w:tblStylePr w:type="nwCell">
      <w:rPr>
        <w:color w:val="000000" w:themeColor="text1"/>
      </w:rPr>
      <w:tbl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color="B65608" w:themeColor="accent6" w:sz="4" w:space="0"/>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Pr/>
    </w:tblStylePr>
    <w:tblStylePr w:type="nwCell">
      <w:rPr>
        <w:color w:val="000000" w:themeColor="text1"/>
      </w:rPr>
      <w:tbl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color="FFFFFF" w:themeColor="background1" w:sz="12" w:space="0"/>
        </w:tcBorders>
        <w:shd w:val="clear" w:color="auto" w:fill="664E82" w:themeFill="accent4" w:themeFillShade="cc"/>
      </w:tcPr>
    </w:tblStylePr>
    <w:tblStylePr w:type="lastRow">
      <w:rPr>
        <w:b/>
        <w:bCs/>
        <w:color w:val="664E82" w:themeColor="accent4"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color="FFFFFF" w:themeColor="background1" w:sz="12" w:space="0"/>
        </w:tcBorders>
        <w:shd w:val="clear" w:color="auto" w:fill="7E9C40" w:themeFill="accent3" w:themeFillShade="cc"/>
      </w:tcPr>
    </w:tblStylePr>
    <w:tblStylePr w:type="lastRow">
      <w:rPr>
        <w:b/>
        <w:bCs/>
        <w:color w:val="7E9C40" w:themeColor="accent3"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color="FFFFFF" w:themeColor="background1" w:sz="12" w:space="0"/>
        </w:tcBorders>
        <w:shd w:val="clear" w:color="auto" w:fill="F2730A" w:themeFill="accent6" w:themeFillShade="cc"/>
      </w:tcPr>
    </w:tblStylePr>
    <w:tblStylePr w:type="lastRow">
      <w:rPr>
        <w:b/>
        <w:bCs/>
        <w:color w:val="F2730A" w:themeColor="accent6"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color="FFFFFF" w:themeColor="background1" w:sz="12" w:space="0"/>
        </w:tcBorders>
        <w:shd w:val="clear" w:color="auto" w:fill="348DA5" w:themeFill="accent5" w:themeFillShade="cc"/>
      </w:tcPr>
    </w:tblStylePr>
    <w:tblStylePr w:type="lastRow">
      <w:rPr>
        <w:b/>
        <w:bCs/>
        <w:color w:val="348DA5" w:themeColor="accent5"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yperlink" Target="https://www.comune.fi.it/system/files/2021-02/Codice-comportamento-dipendenti" TargetMode="Externa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 Id="rId8" Type="http://schemas.openxmlformats.org/officeDocument/2006/relationships/customXml" Target="../customXml/item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Application>LibreOffice/7.3.3.2$Windows_X86_64 LibreOffice_project/d1d0ea68f081ee2800a922cac8f79445e4603348</Application>
  <AppVersion>15.0000</AppVersion>
  <Pages>5</Pages>
  <Words>1528</Words>
  <Characters>8715</Characters>
  <CharactersWithSpaces>10223</CharactersWithSpaces>
  <Paragraphs>20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2026-09-24T16:21:00Z</dcterms:created>
  <dc:creator>De Ponti Carla</dc:creator>
  <dc:description>generated by python-docx</dc:description>
  <dc:language>it-IT</dc:language>
  <cp:lastModifiedBy/>
  <dcterms:modified xsi:type="dcterms:W3CDTF">2026-10-01T09:30:35Z</dcterms:modified>
  <cp:revision>3</cp:revision>
  <dc:subject/>
  <dc:title/>
</cp:coreProperties>
</file>

<file path=docProps/custom.xml><?xml version="1.0" encoding="utf-8"?>
<Properties xmlns="http://schemas.openxmlformats.org/officeDocument/2006/custom-properties" xmlns:vt="http://schemas.openxmlformats.org/officeDocument/2006/docPropsVTypes"/>
</file>